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D439" w14:textId="77777777" w:rsidR="00852A85" w:rsidRDefault="00852A85" w:rsidP="00E37997">
      <w:pPr>
        <w:pStyle w:val="BodyText"/>
        <w:jc w:val="center"/>
        <w:rPr>
          <w:rFonts w:cs="Arial"/>
          <w:b/>
          <w:bCs/>
          <w:szCs w:val="22"/>
        </w:rPr>
      </w:pPr>
      <w:r w:rsidRPr="00E37997">
        <w:rPr>
          <w:rFonts w:cs="Arial"/>
          <w:b/>
          <w:bCs/>
          <w:szCs w:val="22"/>
        </w:rPr>
        <w:t>CONTRATO ESPECÍFICO</w:t>
      </w:r>
    </w:p>
    <w:p w14:paraId="17398C4A" w14:textId="77777777" w:rsidR="004D101F" w:rsidRPr="00E37997" w:rsidRDefault="004D101F" w:rsidP="00E37997">
      <w:pPr>
        <w:pStyle w:val="BodyText"/>
        <w:jc w:val="center"/>
        <w:rPr>
          <w:rFonts w:cs="Arial"/>
          <w:b/>
          <w:bCs/>
          <w:szCs w:val="22"/>
        </w:rPr>
      </w:pPr>
    </w:p>
    <w:p w14:paraId="15C7B6D8" w14:textId="77777777" w:rsidR="002F140D" w:rsidRPr="004D101F" w:rsidRDefault="004D101F" w:rsidP="00E37997">
      <w:pPr>
        <w:pStyle w:val="BodyText"/>
        <w:jc w:val="center"/>
        <w:rPr>
          <w:rFonts w:cs="Arial"/>
          <w:b/>
          <w:bCs/>
          <w:caps/>
          <w:szCs w:val="22"/>
        </w:rPr>
      </w:pPr>
      <w:r w:rsidRPr="004D101F">
        <w:rPr>
          <w:rFonts w:cs="Arial"/>
          <w:b/>
          <w:bCs/>
          <w:caps/>
          <w:szCs w:val="22"/>
        </w:rPr>
        <w:t>Operaciones de Reporte de Cartera de Créditos con Garantía del Gobierno Nacional Representada en Títulos Valores para Apoyo de Liquidez</w:t>
      </w:r>
    </w:p>
    <w:p w14:paraId="29BE4CA5" w14:textId="77777777" w:rsidR="002F140D" w:rsidRDefault="002F140D" w:rsidP="00E37997">
      <w:pPr>
        <w:pStyle w:val="BodyText"/>
        <w:jc w:val="center"/>
        <w:rPr>
          <w:rFonts w:cs="Arial"/>
          <w:szCs w:val="22"/>
        </w:rPr>
      </w:pPr>
    </w:p>
    <w:p w14:paraId="048F170F" w14:textId="77777777" w:rsidR="00E37997" w:rsidRPr="00E37997" w:rsidRDefault="00E37997" w:rsidP="00E37997">
      <w:pPr>
        <w:pStyle w:val="BodyText"/>
        <w:jc w:val="center"/>
        <w:rPr>
          <w:rFonts w:cs="Arial"/>
          <w:szCs w:val="22"/>
        </w:rPr>
      </w:pPr>
    </w:p>
    <w:p w14:paraId="00744803" w14:textId="77777777" w:rsidR="00CB0214" w:rsidRPr="0059533D" w:rsidRDefault="00CB0214" w:rsidP="00E3799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7997">
        <w:rPr>
          <w:rFonts w:ascii="Arial" w:hAnsi="Arial" w:cs="Arial"/>
          <w:b/>
          <w:bCs/>
          <w:sz w:val="22"/>
          <w:szCs w:val="22"/>
        </w:rPr>
        <w:t>Fecha:</w:t>
      </w:r>
      <w:r w:rsidRPr="00E37997">
        <w:rPr>
          <w:rFonts w:ascii="Arial" w:hAnsi="Arial" w:cs="Arial"/>
          <w:bCs/>
          <w:sz w:val="22"/>
          <w:szCs w:val="22"/>
        </w:rPr>
        <w:t xml:space="preserve"> </w:t>
      </w:r>
      <w:r w:rsidRPr="00E37997">
        <w:rPr>
          <w:rFonts w:ascii="Arial" w:hAnsi="Arial" w:cs="Arial"/>
          <w:bCs/>
          <w:color w:val="BFBFBF" w:themeColor="background1" w:themeShade="BF"/>
          <w:sz w:val="22"/>
          <w:szCs w:val="22"/>
        </w:rPr>
        <w:t xml:space="preserve">dd-mm-aaaa                           </w:t>
      </w:r>
      <w:r w:rsidR="0059533D">
        <w:rPr>
          <w:rFonts w:ascii="Arial" w:hAnsi="Arial" w:cs="Arial"/>
          <w:bCs/>
          <w:color w:val="BFBFBF" w:themeColor="background1" w:themeShade="BF"/>
          <w:sz w:val="22"/>
          <w:szCs w:val="22"/>
        </w:rPr>
        <w:t xml:space="preserve">           </w:t>
      </w:r>
      <w:r w:rsidR="0059533D">
        <w:rPr>
          <w:rFonts w:ascii="Arial" w:hAnsi="Arial" w:cs="Arial"/>
          <w:b/>
          <w:bCs/>
          <w:sz w:val="22"/>
          <w:szCs w:val="22"/>
        </w:rPr>
        <w:t>Número de Contrato</w:t>
      </w:r>
      <w:r w:rsidRPr="00E37997">
        <w:rPr>
          <w:rFonts w:ascii="Arial" w:hAnsi="Arial" w:cs="Arial"/>
          <w:b/>
          <w:bCs/>
          <w:sz w:val="22"/>
          <w:szCs w:val="22"/>
        </w:rPr>
        <w:t>:</w:t>
      </w:r>
      <w:r w:rsidR="0059533D">
        <w:rPr>
          <w:rFonts w:ascii="Arial" w:hAnsi="Arial" w:cs="Arial"/>
          <w:b/>
          <w:bCs/>
          <w:sz w:val="22"/>
          <w:szCs w:val="22"/>
        </w:rPr>
        <w:t xml:space="preserve"> </w:t>
      </w:r>
      <w:r w:rsidR="0059533D" w:rsidRPr="0059533D">
        <w:rPr>
          <w:rFonts w:ascii="Arial" w:hAnsi="Arial" w:cs="Arial"/>
          <w:b/>
          <w:bCs/>
          <w:color w:val="D9D9D9" w:themeColor="background1" w:themeShade="D9"/>
          <w:sz w:val="22"/>
          <w:szCs w:val="22"/>
        </w:rPr>
        <w:t>[Entidad]-[N°</w:t>
      </w:r>
      <w:r w:rsidR="0059533D">
        <w:rPr>
          <w:rFonts w:ascii="Arial" w:hAnsi="Arial" w:cs="Arial"/>
          <w:b/>
          <w:bCs/>
          <w:color w:val="D9D9D9" w:themeColor="background1" w:themeShade="D9"/>
          <w:sz w:val="22"/>
          <w:szCs w:val="22"/>
        </w:rPr>
        <w:t xml:space="preserve"> </w:t>
      </w:r>
      <w:r w:rsidR="0059533D" w:rsidRPr="0059533D">
        <w:rPr>
          <w:rFonts w:ascii="Arial" w:hAnsi="Arial" w:cs="Arial"/>
          <w:b/>
          <w:bCs/>
          <w:color w:val="D9D9D9" w:themeColor="background1" w:themeShade="D9"/>
          <w:sz w:val="22"/>
          <w:szCs w:val="22"/>
        </w:rPr>
        <w:t>Operación]</w:t>
      </w:r>
    </w:p>
    <w:p w14:paraId="07FB38FD" w14:textId="77777777" w:rsidR="00CB0214" w:rsidRPr="00E37997" w:rsidRDefault="00CB0214" w:rsidP="00E37997">
      <w:pPr>
        <w:pStyle w:val="BodyText"/>
        <w:jc w:val="both"/>
        <w:rPr>
          <w:rFonts w:cs="Arial"/>
          <w:szCs w:val="22"/>
          <w:lang w:val="es-ES"/>
        </w:rPr>
      </w:pPr>
    </w:p>
    <w:p w14:paraId="4BC60798" w14:textId="77777777" w:rsidR="002F140D" w:rsidRPr="00E37997" w:rsidRDefault="002F140D" w:rsidP="00E37997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37997">
        <w:rPr>
          <w:rFonts w:ascii="Arial" w:hAnsi="Arial" w:cs="Arial"/>
          <w:sz w:val="22"/>
          <w:szCs w:val="22"/>
          <w:lang w:val="es-PE"/>
        </w:rPr>
        <w:t>E</w:t>
      </w:r>
      <w:r w:rsidRPr="00E37997">
        <w:rPr>
          <w:rFonts w:ascii="Arial" w:hAnsi="Arial" w:cs="Arial"/>
          <w:sz w:val="22"/>
          <w:szCs w:val="22"/>
          <w:lang w:val="es-ES_tradnl"/>
        </w:rPr>
        <w:t xml:space="preserve">l presente Contrato Específico de </w:t>
      </w:r>
      <w:r w:rsidR="004D101F" w:rsidRPr="004D101F">
        <w:rPr>
          <w:rFonts w:ascii="Arial" w:hAnsi="Arial" w:cs="Arial"/>
          <w:sz w:val="22"/>
          <w:szCs w:val="22"/>
          <w:lang w:val="es-ES_tradnl"/>
        </w:rPr>
        <w:t>Operaciones de Reporte de Cartera de Créditos con Garantía del Gobierno Nacional Representada en Títulos Valores para Apoyo de Liquidez</w:t>
      </w:r>
      <w:r w:rsidR="009F3610" w:rsidRPr="00E37997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37997">
        <w:rPr>
          <w:rFonts w:ascii="Arial" w:hAnsi="Arial" w:cs="Arial"/>
          <w:sz w:val="22"/>
          <w:szCs w:val="22"/>
          <w:lang w:val="es-ES_tradnl"/>
        </w:rPr>
        <w:t xml:space="preserve">(en adelante, el Contrato Específico) se </w:t>
      </w:r>
      <w:r w:rsidR="005A68ED">
        <w:rPr>
          <w:rFonts w:ascii="Arial" w:hAnsi="Arial" w:cs="Arial"/>
          <w:sz w:val="22"/>
          <w:szCs w:val="22"/>
          <w:lang w:val="es-ES_tradnl"/>
        </w:rPr>
        <w:t xml:space="preserve">realiza </w:t>
      </w:r>
      <w:r w:rsidRPr="00E37997">
        <w:rPr>
          <w:rFonts w:ascii="Arial" w:hAnsi="Arial" w:cs="Arial"/>
          <w:sz w:val="22"/>
          <w:szCs w:val="22"/>
          <w:lang w:val="es-ES_tradnl"/>
        </w:rPr>
        <w:t xml:space="preserve">al amparo </w:t>
      </w:r>
      <w:r w:rsidR="00DD7CDC" w:rsidRPr="00E37997">
        <w:rPr>
          <w:rFonts w:ascii="Arial" w:hAnsi="Arial" w:cs="Arial"/>
          <w:sz w:val="22"/>
          <w:szCs w:val="22"/>
          <w:lang w:val="es-ES_tradnl"/>
        </w:rPr>
        <w:t>y con sujeción a las disposiciones contenidas en</w:t>
      </w:r>
      <w:r w:rsidRPr="00E3799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D7CDC" w:rsidRPr="00E37997">
        <w:rPr>
          <w:rFonts w:ascii="Arial" w:hAnsi="Arial" w:cs="Arial"/>
          <w:sz w:val="22"/>
          <w:szCs w:val="22"/>
          <w:lang w:val="es-ES_tradnl"/>
        </w:rPr>
        <w:t>la Ley de Operaciones de Reporte, Ley N</w:t>
      </w:r>
      <w:r w:rsidR="00D42DE8" w:rsidRPr="00E37997">
        <w:rPr>
          <w:rFonts w:ascii="Arial" w:hAnsi="Arial" w:cs="Arial"/>
          <w:sz w:val="22"/>
          <w:szCs w:val="22"/>
          <w:lang w:val="es-ES_tradnl"/>
        </w:rPr>
        <w:t>°</w:t>
      </w:r>
      <w:r w:rsidR="00DD7CDC" w:rsidRPr="00E37997">
        <w:rPr>
          <w:rFonts w:ascii="Arial" w:hAnsi="Arial" w:cs="Arial"/>
          <w:sz w:val="22"/>
          <w:szCs w:val="22"/>
          <w:lang w:val="es-ES_tradnl"/>
        </w:rPr>
        <w:t xml:space="preserve"> 30052 (La Ley),</w:t>
      </w:r>
      <w:r w:rsidR="001F48E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F48ED" w:rsidRPr="001F48ED">
        <w:rPr>
          <w:rFonts w:ascii="Arial" w:hAnsi="Arial" w:cs="Arial"/>
          <w:sz w:val="22"/>
          <w:szCs w:val="22"/>
          <w:lang w:val="es-ES_tradnl"/>
        </w:rPr>
        <w:t>el Decreto Legislativo N° 1</w:t>
      </w:r>
      <w:r w:rsidR="001F48ED">
        <w:rPr>
          <w:rFonts w:ascii="Arial" w:hAnsi="Arial" w:cs="Arial"/>
          <w:sz w:val="22"/>
          <w:szCs w:val="22"/>
          <w:lang w:val="es-ES_tradnl"/>
        </w:rPr>
        <w:t>508</w:t>
      </w:r>
      <w:r w:rsidR="001F48ED" w:rsidRPr="001F48ED">
        <w:rPr>
          <w:rFonts w:ascii="Arial" w:hAnsi="Arial" w:cs="Arial"/>
          <w:sz w:val="22"/>
          <w:szCs w:val="22"/>
          <w:lang w:val="es-ES_tradnl"/>
        </w:rPr>
        <w:t xml:space="preserve">, su Reglamento Operativo, normas ampliatorias y modificatorias, </w:t>
      </w:r>
      <w:r w:rsidR="00DD7CDC" w:rsidRPr="00E37997">
        <w:rPr>
          <w:rFonts w:ascii="Arial" w:hAnsi="Arial" w:cs="Arial"/>
          <w:sz w:val="22"/>
          <w:szCs w:val="22"/>
          <w:lang w:val="es-ES_tradnl"/>
        </w:rPr>
        <w:t xml:space="preserve">en </w:t>
      </w:r>
      <w:r w:rsidRPr="00AF59C7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82759B" w:rsidRPr="00AF59C7">
        <w:rPr>
          <w:rFonts w:ascii="Arial" w:hAnsi="Arial" w:cs="Arial"/>
          <w:sz w:val="22"/>
          <w:szCs w:val="22"/>
        </w:rPr>
        <w:t xml:space="preserve">Circular N° </w:t>
      </w:r>
      <w:r w:rsidR="00C4681F" w:rsidRPr="00462502">
        <w:rPr>
          <w:rFonts w:ascii="Arial" w:hAnsi="Arial" w:cs="Arial"/>
          <w:bCs/>
          <w:sz w:val="22"/>
          <w:szCs w:val="22"/>
          <w:lang w:val="es-PE" w:eastAsia="es-PE"/>
        </w:rPr>
        <w:t xml:space="preserve">0011-2021-BCRP </w:t>
      </w:r>
      <w:r w:rsidR="00353D96" w:rsidRPr="00AF59C7">
        <w:rPr>
          <w:rFonts w:ascii="Arial" w:hAnsi="Arial" w:cs="Arial"/>
          <w:sz w:val="22"/>
          <w:szCs w:val="22"/>
        </w:rPr>
        <w:t>o</w:t>
      </w:r>
      <w:r w:rsidR="00353D96" w:rsidRPr="00E37997">
        <w:rPr>
          <w:rFonts w:ascii="Arial" w:hAnsi="Arial" w:cs="Arial"/>
          <w:sz w:val="22"/>
          <w:szCs w:val="22"/>
        </w:rPr>
        <w:t xml:space="preserve"> la que la sustituya</w:t>
      </w:r>
      <w:r w:rsidRPr="00E37997">
        <w:rPr>
          <w:rFonts w:ascii="Arial" w:hAnsi="Arial" w:cs="Arial"/>
          <w:sz w:val="22"/>
          <w:szCs w:val="22"/>
          <w:lang w:val="es-ES_tradnl"/>
        </w:rPr>
        <w:t xml:space="preserve"> (La Circular) y</w:t>
      </w:r>
      <w:r w:rsidR="00DD7CDC" w:rsidRPr="00E37997">
        <w:rPr>
          <w:rFonts w:ascii="Arial" w:hAnsi="Arial" w:cs="Arial"/>
          <w:sz w:val="22"/>
          <w:szCs w:val="22"/>
          <w:lang w:val="es-ES_tradnl"/>
        </w:rPr>
        <w:t>, en</w:t>
      </w:r>
      <w:r w:rsidRPr="00E37997">
        <w:rPr>
          <w:rFonts w:ascii="Arial" w:hAnsi="Arial" w:cs="Arial"/>
          <w:sz w:val="22"/>
          <w:szCs w:val="22"/>
          <w:lang w:val="es-ES_tradnl"/>
        </w:rPr>
        <w:t xml:space="preserve"> el </w:t>
      </w:r>
      <w:r w:rsidR="00BC650E" w:rsidRPr="00E37997">
        <w:rPr>
          <w:rFonts w:ascii="Arial" w:hAnsi="Arial" w:cs="Arial"/>
          <w:sz w:val="22"/>
          <w:szCs w:val="22"/>
          <w:lang w:val="es-ES_tradnl"/>
        </w:rPr>
        <w:t>Contrato Marco de Operaciones de Reporte de Cartera de Créditos</w:t>
      </w:r>
      <w:r w:rsidRPr="00E37997">
        <w:rPr>
          <w:rFonts w:ascii="Arial" w:hAnsi="Arial" w:cs="Arial"/>
          <w:sz w:val="22"/>
          <w:szCs w:val="22"/>
          <w:lang w:val="es-ES_tradnl"/>
        </w:rPr>
        <w:t xml:space="preserve">, suscrito entre el Banco Central de Reserva del Perú (EL BCRP) y </w:t>
      </w:r>
      <w:r w:rsidR="00DD7CDC" w:rsidRPr="00E37997">
        <w:rPr>
          <w:rFonts w:ascii="Arial" w:hAnsi="Arial" w:cs="Arial"/>
          <w:sz w:val="22"/>
          <w:szCs w:val="22"/>
          <w:lang w:val="es-ES_tradnl"/>
        </w:rPr>
        <w:t>(nombre de</w:t>
      </w:r>
      <w:r w:rsidR="007010E0">
        <w:rPr>
          <w:rFonts w:ascii="Arial" w:hAnsi="Arial" w:cs="Arial"/>
          <w:sz w:val="22"/>
          <w:szCs w:val="22"/>
          <w:lang w:val="es-ES_tradnl"/>
        </w:rPr>
        <w:t>l participante</w:t>
      </w:r>
      <w:r w:rsidR="0059533D">
        <w:rPr>
          <w:rFonts w:ascii="Arial" w:hAnsi="Arial" w:cs="Arial"/>
          <w:sz w:val="22"/>
          <w:szCs w:val="22"/>
          <w:lang w:val="es-ES_tradnl"/>
        </w:rPr>
        <w:t>)</w:t>
      </w:r>
      <w:r w:rsidRPr="00E37997">
        <w:rPr>
          <w:rFonts w:ascii="Arial" w:hAnsi="Arial" w:cs="Arial"/>
          <w:sz w:val="22"/>
          <w:szCs w:val="22"/>
          <w:lang w:val="es-ES_tradnl"/>
        </w:rPr>
        <w:t xml:space="preserve"> (LA </w:t>
      </w:r>
      <w:r w:rsidR="00420AC4" w:rsidRPr="00E37997">
        <w:rPr>
          <w:rFonts w:ascii="Arial" w:hAnsi="Arial" w:cs="Arial"/>
          <w:sz w:val="22"/>
          <w:szCs w:val="22"/>
          <w:lang w:val="es-ES_tradnl"/>
        </w:rPr>
        <w:t>EP</w:t>
      </w:r>
      <w:r w:rsidR="00BC650E" w:rsidRPr="00E37997"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E37997">
        <w:rPr>
          <w:rFonts w:ascii="Arial" w:hAnsi="Arial" w:cs="Arial"/>
          <w:sz w:val="22"/>
          <w:szCs w:val="22"/>
          <w:lang w:val="es-ES_tradnl"/>
        </w:rPr>
        <w:t>(en adelante, el Contrato Marco).</w:t>
      </w:r>
    </w:p>
    <w:p w14:paraId="071E34B7" w14:textId="77777777" w:rsidR="002F140D" w:rsidRPr="00E37997" w:rsidRDefault="002F140D" w:rsidP="00E37997">
      <w:pPr>
        <w:pStyle w:val="Header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</w:p>
    <w:p w14:paraId="2CD90E39" w14:textId="77777777" w:rsidR="0027354E" w:rsidRPr="00E37997" w:rsidRDefault="002F140D" w:rsidP="00E37997">
      <w:pPr>
        <w:pStyle w:val="Header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  <w:r w:rsidRPr="00E37997">
        <w:rPr>
          <w:b/>
          <w:bCs/>
          <w:szCs w:val="22"/>
          <w:lang w:val="es-ES_tradnl"/>
        </w:rPr>
        <w:t>PRIMERA</w:t>
      </w:r>
      <w:r w:rsidRPr="00E37997">
        <w:rPr>
          <w:szCs w:val="22"/>
          <w:lang w:val="es-ES_tradnl"/>
        </w:rPr>
        <w:t xml:space="preserve">.- </w:t>
      </w:r>
      <w:r w:rsidR="00DD7CDC" w:rsidRPr="00E37997">
        <w:rPr>
          <w:szCs w:val="22"/>
          <w:lang w:val="es-ES_tradnl"/>
        </w:rPr>
        <w:t xml:space="preserve">En virtud de </w:t>
      </w:r>
      <w:r w:rsidRPr="00E37997">
        <w:rPr>
          <w:szCs w:val="22"/>
          <w:lang w:val="es-ES_tradnl"/>
        </w:rPr>
        <w:t>las disposiciones referid</w:t>
      </w:r>
      <w:r w:rsidR="00DD7CDC" w:rsidRPr="00E37997">
        <w:rPr>
          <w:szCs w:val="22"/>
          <w:lang w:val="es-ES_tradnl"/>
        </w:rPr>
        <w:t>a</w:t>
      </w:r>
      <w:r w:rsidRPr="00E37997">
        <w:rPr>
          <w:szCs w:val="22"/>
          <w:lang w:val="es-ES_tradnl"/>
        </w:rPr>
        <w:t xml:space="preserve">s en la introducción del presente </w:t>
      </w:r>
      <w:r w:rsidR="00B22F1D" w:rsidRPr="00E37997">
        <w:rPr>
          <w:szCs w:val="22"/>
          <w:lang w:val="es-ES_tradnl"/>
        </w:rPr>
        <w:t>C</w:t>
      </w:r>
      <w:r w:rsidRPr="00E37997">
        <w:rPr>
          <w:szCs w:val="22"/>
          <w:lang w:val="es-ES_tradnl"/>
        </w:rPr>
        <w:t>ontrato</w:t>
      </w:r>
      <w:r w:rsidR="00B22F1D" w:rsidRPr="00E37997">
        <w:rPr>
          <w:szCs w:val="22"/>
          <w:lang w:val="es-ES_tradnl"/>
        </w:rPr>
        <w:t xml:space="preserve"> Específico</w:t>
      </w:r>
      <w:r w:rsidR="00E37997">
        <w:rPr>
          <w:szCs w:val="22"/>
          <w:lang w:val="es-ES_tradnl"/>
        </w:rPr>
        <w:t>,</w:t>
      </w:r>
      <w:r w:rsidR="00C16625" w:rsidRPr="00E37997">
        <w:rPr>
          <w:szCs w:val="22"/>
          <w:lang w:val="es-ES_tradnl"/>
        </w:rPr>
        <w:t xml:space="preserve"> </w:t>
      </w:r>
      <w:r w:rsidRPr="00E37997">
        <w:rPr>
          <w:szCs w:val="22"/>
          <w:lang w:val="es-ES_tradnl"/>
        </w:rPr>
        <w:t xml:space="preserve">LA </w:t>
      </w:r>
      <w:r w:rsidR="00420AC4" w:rsidRPr="00E37997">
        <w:rPr>
          <w:szCs w:val="22"/>
          <w:lang w:val="es-ES_tradnl"/>
        </w:rPr>
        <w:t xml:space="preserve">EP </w:t>
      </w:r>
      <w:r w:rsidRPr="00E37997">
        <w:rPr>
          <w:szCs w:val="22"/>
          <w:lang w:val="es-ES_tradnl"/>
        </w:rPr>
        <w:t xml:space="preserve">cede y transfiere a EL BCRP </w:t>
      </w:r>
      <w:r w:rsidR="009F3610" w:rsidRPr="00E37997">
        <w:rPr>
          <w:szCs w:val="22"/>
          <w:lang w:val="es-ES_tradnl"/>
        </w:rPr>
        <w:t>l</w:t>
      </w:r>
      <w:r w:rsidRPr="00E37997">
        <w:rPr>
          <w:szCs w:val="22"/>
          <w:lang w:val="es-ES_tradnl"/>
        </w:rPr>
        <w:t xml:space="preserve">os </w:t>
      </w:r>
      <w:r w:rsidR="00D42DE8" w:rsidRPr="00E37997">
        <w:rPr>
          <w:szCs w:val="22"/>
          <w:lang w:val="es-ES_tradnl"/>
        </w:rPr>
        <w:t>c</w:t>
      </w:r>
      <w:r w:rsidRPr="00E37997">
        <w:rPr>
          <w:szCs w:val="22"/>
          <w:lang w:val="es-ES_tradnl"/>
        </w:rPr>
        <w:t xml:space="preserve">réditos que se detallan en el </w:t>
      </w:r>
      <w:r w:rsidR="009F3610" w:rsidRPr="00E37997">
        <w:rPr>
          <w:szCs w:val="22"/>
          <w:lang w:val="es-ES_tradnl"/>
        </w:rPr>
        <w:t>Anexo</w:t>
      </w:r>
      <w:r w:rsidRPr="00E37997">
        <w:rPr>
          <w:szCs w:val="22"/>
          <w:lang w:val="es-ES_tradnl"/>
        </w:rPr>
        <w:t xml:space="preserve"> </w:t>
      </w:r>
      <w:r w:rsidR="00DD7CDC" w:rsidRPr="00E37997">
        <w:rPr>
          <w:szCs w:val="22"/>
          <w:lang w:val="es-ES_tradnl"/>
        </w:rPr>
        <w:t>del mismo</w:t>
      </w:r>
      <w:r w:rsidR="00187DAE" w:rsidRPr="00E37997">
        <w:rPr>
          <w:szCs w:val="22"/>
          <w:lang w:val="es-ES_tradnl"/>
        </w:rPr>
        <w:t xml:space="preserve">, </w:t>
      </w:r>
      <w:r w:rsidR="00F63912">
        <w:rPr>
          <w:szCs w:val="22"/>
          <w:lang w:val="es-ES_tradnl"/>
        </w:rPr>
        <w:t>conjuntamente con sus garantías,</w:t>
      </w:r>
      <w:r w:rsidR="001F48ED" w:rsidRPr="001F48ED">
        <w:t xml:space="preserve"> </w:t>
      </w:r>
      <w:r w:rsidR="001F48ED" w:rsidRPr="001F48ED">
        <w:rPr>
          <w:szCs w:val="22"/>
          <w:lang w:val="es-ES_tradnl"/>
        </w:rPr>
        <w:t>incluyendo la garantía otorgada por el Gobierno Nacional</w:t>
      </w:r>
      <w:r w:rsidR="00DD7CDC" w:rsidRPr="00E37997">
        <w:rPr>
          <w:szCs w:val="22"/>
          <w:lang w:val="es-ES_tradnl"/>
        </w:rPr>
        <w:t xml:space="preserve"> </w:t>
      </w:r>
      <w:r w:rsidRPr="00E37997">
        <w:rPr>
          <w:szCs w:val="22"/>
          <w:lang w:val="es-ES_tradnl"/>
        </w:rPr>
        <w:t>y</w:t>
      </w:r>
      <w:r w:rsidR="00B22F1D" w:rsidRPr="00E37997">
        <w:rPr>
          <w:szCs w:val="22"/>
          <w:lang w:val="es-ES_tradnl"/>
        </w:rPr>
        <w:t>,</w:t>
      </w:r>
      <w:r w:rsidRPr="00E37997">
        <w:rPr>
          <w:szCs w:val="22"/>
          <w:lang w:val="es-ES_tradnl"/>
        </w:rPr>
        <w:t xml:space="preserve"> </w:t>
      </w:r>
      <w:r w:rsidR="00DD7CDC" w:rsidRPr="00E37997">
        <w:rPr>
          <w:szCs w:val="22"/>
          <w:lang w:val="es-ES_tradnl"/>
        </w:rPr>
        <w:t>simultáneamente</w:t>
      </w:r>
      <w:r w:rsidR="00B22F1D" w:rsidRPr="00E37997">
        <w:rPr>
          <w:szCs w:val="22"/>
          <w:lang w:val="es-ES_tradnl"/>
        </w:rPr>
        <w:t>,</w:t>
      </w:r>
      <w:r w:rsidR="00DD7CDC" w:rsidRPr="00E37997">
        <w:rPr>
          <w:szCs w:val="22"/>
          <w:lang w:val="es-ES_tradnl"/>
        </w:rPr>
        <w:t xml:space="preserve"> </w:t>
      </w:r>
      <w:r w:rsidRPr="00E37997">
        <w:rPr>
          <w:szCs w:val="22"/>
          <w:lang w:val="es-ES_tradnl"/>
        </w:rPr>
        <w:t>asume la obligación de recomprar dichos créditos</w:t>
      </w:r>
      <w:r w:rsidR="00B21001" w:rsidRPr="00E37997">
        <w:rPr>
          <w:szCs w:val="22"/>
          <w:lang w:val="es-ES_tradnl"/>
        </w:rPr>
        <w:t xml:space="preserve">, en los términos contenidos en </w:t>
      </w:r>
      <w:r w:rsidR="00661B21" w:rsidRPr="00E37997">
        <w:rPr>
          <w:szCs w:val="22"/>
          <w:lang w:val="es-ES_tradnl"/>
        </w:rPr>
        <w:t xml:space="preserve">la Circular y </w:t>
      </w:r>
      <w:r w:rsidR="00B21001" w:rsidRPr="00E37997">
        <w:rPr>
          <w:szCs w:val="22"/>
          <w:lang w:val="es-ES_tradnl"/>
        </w:rPr>
        <w:t xml:space="preserve">el Contrato Marco antes </w:t>
      </w:r>
      <w:r w:rsidR="00C16625" w:rsidRPr="00E37997">
        <w:rPr>
          <w:szCs w:val="22"/>
          <w:lang w:val="es-ES_tradnl"/>
        </w:rPr>
        <w:t>citado</w:t>
      </w:r>
      <w:r w:rsidR="00661B21" w:rsidRPr="00E37997">
        <w:rPr>
          <w:szCs w:val="22"/>
          <w:lang w:val="es-ES_tradnl"/>
        </w:rPr>
        <w:t>s</w:t>
      </w:r>
      <w:r w:rsidR="00187DAE" w:rsidRPr="00E37997">
        <w:rPr>
          <w:szCs w:val="22"/>
          <w:lang w:val="es-ES_tradnl"/>
        </w:rPr>
        <w:t>.</w:t>
      </w:r>
    </w:p>
    <w:p w14:paraId="1E036DF6" w14:textId="77777777" w:rsidR="003E7D58" w:rsidRPr="00E37997" w:rsidRDefault="003E7D58" w:rsidP="00E37997">
      <w:pPr>
        <w:pStyle w:val="Header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</w:p>
    <w:p w14:paraId="049E3443" w14:textId="77777777" w:rsidR="00187DAE" w:rsidRPr="00E37997" w:rsidRDefault="00187DAE" w:rsidP="00E37997">
      <w:pPr>
        <w:pStyle w:val="Header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  <w:r w:rsidRPr="00E37997">
        <w:rPr>
          <w:szCs w:val="22"/>
          <w:lang w:val="es-ES_tradnl"/>
        </w:rPr>
        <w:t>El referido Anexo se integra y forma parte del</w:t>
      </w:r>
      <w:r w:rsidR="0059533D">
        <w:rPr>
          <w:szCs w:val="22"/>
          <w:lang w:val="es-ES_tradnl"/>
        </w:rPr>
        <w:t xml:space="preserve"> presente Contrato Específico. </w:t>
      </w:r>
      <w:r w:rsidR="00661B21" w:rsidRPr="00E37997">
        <w:rPr>
          <w:szCs w:val="22"/>
          <w:lang w:val="es-ES_tradnl"/>
        </w:rPr>
        <w:t>L</w:t>
      </w:r>
      <w:r w:rsidRPr="00E37997">
        <w:rPr>
          <w:szCs w:val="22"/>
          <w:lang w:val="es-ES_tradnl"/>
        </w:rPr>
        <w:t xml:space="preserve">os </w:t>
      </w:r>
      <w:r w:rsidR="00661B21" w:rsidRPr="00E37997">
        <w:rPr>
          <w:szCs w:val="22"/>
          <w:lang w:val="es-ES_tradnl"/>
        </w:rPr>
        <w:t>A</w:t>
      </w:r>
      <w:r w:rsidRPr="00E37997">
        <w:rPr>
          <w:szCs w:val="22"/>
          <w:lang w:val="es-ES_tradnl"/>
        </w:rPr>
        <w:t xml:space="preserve">nexos </w:t>
      </w:r>
      <w:r w:rsidR="00661B21" w:rsidRPr="00E37997">
        <w:rPr>
          <w:szCs w:val="22"/>
          <w:lang w:val="es-ES_tradnl"/>
        </w:rPr>
        <w:t>semanales</w:t>
      </w:r>
      <w:r w:rsidRPr="00E37997">
        <w:rPr>
          <w:szCs w:val="22"/>
          <w:lang w:val="es-ES_tradnl"/>
        </w:rPr>
        <w:t xml:space="preserve"> que se generen </w:t>
      </w:r>
      <w:r w:rsidR="00B21001" w:rsidRPr="00E37997">
        <w:rPr>
          <w:szCs w:val="22"/>
          <w:lang w:val="es-ES_tradnl"/>
        </w:rPr>
        <w:t>como consecuencia de</w:t>
      </w:r>
      <w:r w:rsidR="00661B21" w:rsidRPr="00E37997">
        <w:rPr>
          <w:szCs w:val="22"/>
          <w:lang w:val="es-ES_tradnl"/>
        </w:rPr>
        <w:t xml:space="preserve">l envío de información actualizada de los créditos que </w:t>
      </w:r>
      <w:r w:rsidR="006F62A2">
        <w:rPr>
          <w:szCs w:val="22"/>
          <w:lang w:val="es-ES_tradnl"/>
        </w:rPr>
        <w:t xml:space="preserve">incluyen </w:t>
      </w:r>
      <w:r w:rsidR="00661B21" w:rsidRPr="00E37997">
        <w:rPr>
          <w:szCs w:val="22"/>
          <w:lang w:val="es-ES_tradnl"/>
        </w:rPr>
        <w:t>la cartera transferida</w:t>
      </w:r>
      <w:r w:rsidR="00B21001" w:rsidRPr="00E37997">
        <w:rPr>
          <w:szCs w:val="22"/>
          <w:lang w:val="es-ES_tradnl"/>
        </w:rPr>
        <w:t xml:space="preserve"> </w:t>
      </w:r>
      <w:r w:rsidRPr="00E37997">
        <w:rPr>
          <w:szCs w:val="22"/>
          <w:lang w:val="es-ES_tradnl"/>
        </w:rPr>
        <w:t>también se integran y forman parte de</w:t>
      </w:r>
      <w:r w:rsidR="00B21001" w:rsidRPr="00E37997">
        <w:rPr>
          <w:szCs w:val="22"/>
          <w:lang w:val="es-ES_tradnl"/>
        </w:rPr>
        <w:t xml:space="preserve"> este</w:t>
      </w:r>
      <w:r w:rsidR="00C7593D" w:rsidRPr="00E37997">
        <w:rPr>
          <w:szCs w:val="22"/>
          <w:lang w:val="es-ES_tradnl"/>
        </w:rPr>
        <w:t xml:space="preserve"> Contrato Específico.</w:t>
      </w:r>
    </w:p>
    <w:p w14:paraId="4447A32A" w14:textId="77777777" w:rsidR="00187DAE" w:rsidRPr="00E37997" w:rsidRDefault="00187DAE" w:rsidP="00E37997">
      <w:pPr>
        <w:pStyle w:val="Header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</w:p>
    <w:p w14:paraId="0B4B5E46" w14:textId="77777777" w:rsidR="002F140D" w:rsidRPr="00E37997" w:rsidRDefault="00926103" w:rsidP="00E37997">
      <w:pPr>
        <w:pStyle w:val="Header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  <w:r w:rsidRPr="00E37997">
        <w:rPr>
          <w:szCs w:val="22"/>
        </w:rPr>
        <w:t xml:space="preserve">EL BCRP podrá requerir a LA EP información detallada </w:t>
      </w:r>
      <w:r w:rsidR="00B21001" w:rsidRPr="00E37997">
        <w:rPr>
          <w:szCs w:val="22"/>
        </w:rPr>
        <w:t xml:space="preserve">de </w:t>
      </w:r>
      <w:r w:rsidR="00C7593D" w:rsidRPr="00E37997">
        <w:rPr>
          <w:szCs w:val="22"/>
        </w:rPr>
        <w:t>las garantías</w:t>
      </w:r>
      <w:r w:rsidR="003A7376" w:rsidRPr="00E37997">
        <w:rPr>
          <w:szCs w:val="22"/>
        </w:rPr>
        <w:t xml:space="preserve"> genéricas o</w:t>
      </w:r>
      <w:r w:rsidR="00C7593D" w:rsidRPr="00E37997">
        <w:rPr>
          <w:szCs w:val="22"/>
        </w:rPr>
        <w:t xml:space="preserve"> </w:t>
      </w:r>
      <w:r w:rsidRPr="00E37997">
        <w:rPr>
          <w:szCs w:val="22"/>
        </w:rPr>
        <w:t>específicas</w:t>
      </w:r>
      <w:r w:rsidR="00C7593D" w:rsidRPr="00E37997">
        <w:rPr>
          <w:szCs w:val="22"/>
        </w:rPr>
        <w:t xml:space="preserve"> que respaldan </w:t>
      </w:r>
      <w:r w:rsidR="00E37997">
        <w:rPr>
          <w:szCs w:val="22"/>
        </w:rPr>
        <w:t xml:space="preserve">los </w:t>
      </w:r>
      <w:r w:rsidR="00C7593D" w:rsidRPr="00E37997">
        <w:rPr>
          <w:szCs w:val="22"/>
        </w:rPr>
        <w:t xml:space="preserve">créditos </w:t>
      </w:r>
      <w:r w:rsidR="00B21001" w:rsidRPr="00E37997">
        <w:rPr>
          <w:szCs w:val="22"/>
        </w:rPr>
        <w:t xml:space="preserve">materia </w:t>
      </w:r>
      <w:r w:rsidR="00C7593D" w:rsidRPr="00E37997">
        <w:rPr>
          <w:szCs w:val="22"/>
        </w:rPr>
        <w:t>del presente Contrato Específico</w:t>
      </w:r>
      <w:r w:rsidRPr="00E37997">
        <w:rPr>
          <w:szCs w:val="22"/>
        </w:rPr>
        <w:t>. Dicha información</w:t>
      </w:r>
      <w:r w:rsidR="00E37997">
        <w:rPr>
          <w:szCs w:val="22"/>
        </w:rPr>
        <w:t>,</w:t>
      </w:r>
      <w:r w:rsidR="00C7593D" w:rsidRPr="00E37997">
        <w:rPr>
          <w:szCs w:val="22"/>
        </w:rPr>
        <w:t xml:space="preserve"> </w:t>
      </w:r>
      <w:r w:rsidRPr="00E37997">
        <w:rPr>
          <w:szCs w:val="22"/>
        </w:rPr>
        <w:t>que deberá ser proporcionada en la forma y dentro del plazo requerido</w:t>
      </w:r>
      <w:r w:rsidR="00E37997">
        <w:rPr>
          <w:szCs w:val="22"/>
        </w:rPr>
        <w:t>,</w:t>
      </w:r>
      <w:r w:rsidRPr="00E37997">
        <w:rPr>
          <w:szCs w:val="22"/>
        </w:rPr>
        <w:t xml:space="preserve"> se </w:t>
      </w:r>
      <w:r w:rsidR="00C7593D" w:rsidRPr="00E37997">
        <w:rPr>
          <w:szCs w:val="22"/>
        </w:rPr>
        <w:t>integra</w:t>
      </w:r>
      <w:r w:rsidRPr="00E37997">
        <w:rPr>
          <w:szCs w:val="22"/>
        </w:rPr>
        <w:t>rá al presente</w:t>
      </w:r>
      <w:r w:rsidR="00C7593D" w:rsidRPr="00E37997">
        <w:rPr>
          <w:szCs w:val="22"/>
        </w:rPr>
        <w:t xml:space="preserve"> </w:t>
      </w:r>
      <w:r w:rsidRPr="00E37997">
        <w:rPr>
          <w:szCs w:val="22"/>
        </w:rPr>
        <w:t xml:space="preserve">contrato </w:t>
      </w:r>
      <w:r w:rsidR="00C7593D" w:rsidRPr="00E37997">
        <w:rPr>
          <w:szCs w:val="22"/>
        </w:rPr>
        <w:t>y forma</w:t>
      </w:r>
      <w:r w:rsidRPr="00E37997">
        <w:rPr>
          <w:szCs w:val="22"/>
        </w:rPr>
        <w:t>rá</w:t>
      </w:r>
      <w:r w:rsidR="00C7593D" w:rsidRPr="00E37997">
        <w:rPr>
          <w:szCs w:val="22"/>
        </w:rPr>
        <w:t xml:space="preserve"> parte del mismo.</w:t>
      </w:r>
    </w:p>
    <w:p w14:paraId="656C5900" w14:textId="77777777" w:rsidR="004D63BA" w:rsidRPr="00E37997" w:rsidRDefault="004D63BA" w:rsidP="00E37997">
      <w:pPr>
        <w:pStyle w:val="Header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</w:p>
    <w:p w14:paraId="089F5056" w14:textId="77777777" w:rsidR="004D63BA" w:rsidRPr="00E37997" w:rsidRDefault="00D55881" w:rsidP="00E37997">
      <w:pPr>
        <w:pStyle w:val="Header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  <w:r w:rsidRPr="00E37997">
        <w:rPr>
          <w:szCs w:val="22"/>
          <w:lang w:val="es-ES_tradnl"/>
        </w:rPr>
        <w:t>El</w:t>
      </w:r>
      <w:r w:rsidR="004D63BA" w:rsidRPr="00E37997">
        <w:rPr>
          <w:szCs w:val="22"/>
          <w:lang w:val="es-ES_tradnl"/>
        </w:rPr>
        <w:t xml:space="preserve"> Anexo</w:t>
      </w:r>
      <w:r w:rsidRPr="00E37997">
        <w:rPr>
          <w:szCs w:val="22"/>
          <w:lang w:val="es-ES_tradnl"/>
        </w:rPr>
        <w:t>, cuyo formato Excel es</w:t>
      </w:r>
      <w:r w:rsidR="004D63BA" w:rsidRPr="00E37997">
        <w:rPr>
          <w:szCs w:val="22"/>
          <w:lang w:val="es-ES_tradnl"/>
        </w:rPr>
        <w:t xml:space="preserve"> publicado en el Portal </w:t>
      </w:r>
      <w:r w:rsidR="00A71978" w:rsidRPr="00E37997">
        <w:rPr>
          <w:szCs w:val="22"/>
          <w:lang w:val="es-ES_tradnl"/>
        </w:rPr>
        <w:t>W</w:t>
      </w:r>
      <w:r w:rsidR="004D63BA" w:rsidRPr="00E37997">
        <w:rPr>
          <w:szCs w:val="22"/>
          <w:lang w:val="es-ES_tradnl"/>
        </w:rPr>
        <w:t>eb de</w:t>
      </w:r>
      <w:r w:rsidRPr="00E37997">
        <w:rPr>
          <w:szCs w:val="22"/>
          <w:lang w:val="es-ES_tradnl"/>
        </w:rPr>
        <w:t xml:space="preserve"> EL BCRP,</w:t>
      </w:r>
      <w:r w:rsidR="004D63BA" w:rsidRPr="00E37997">
        <w:rPr>
          <w:szCs w:val="22"/>
          <w:lang w:val="es-ES_tradnl"/>
        </w:rPr>
        <w:t xml:space="preserve"> debe ser enviado por LA EP </w:t>
      </w:r>
      <w:r w:rsidRPr="00E37997">
        <w:rPr>
          <w:szCs w:val="22"/>
          <w:lang w:val="es-ES_tradnl"/>
        </w:rPr>
        <w:t xml:space="preserve">mediante </w:t>
      </w:r>
      <w:r w:rsidR="004D63BA" w:rsidRPr="00E37997">
        <w:rPr>
          <w:szCs w:val="22"/>
          <w:lang w:val="es-ES_tradnl"/>
        </w:rPr>
        <w:t xml:space="preserve">correo electrónico al Departamento de Liquidación y Control de Operaciones Internas, </w:t>
      </w:r>
      <w:r w:rsidR="004D63BA" w:rsidRPr="003F7878">
        <w:rPr>
          <w:rStyle w:val="Hyperlink"/>
        </w:rPr>
        <w:t>Dpto.RegistroLiqConOpeInt@bcrp.gob.pe</w:t>
      </w:r>
      <w:r w:rsidR="004D63BA" w:rsidRPr="00E37997">
        <w:rPr>
          <w:szCs w:val="22"/>
          <w:lang w:val="es-ES_tradnl"/>
        </w:rPr>
        <w:t xml:space="preserve">, o a través del SIB-FTP en los canales que se indique. Los archivos Excel que se envíen a </w:t>
      </w:r>
      <w:r w:rsidR="00E37997">
        <w:rPr>
          <w:szCs w:val="22"/>
          <w:lang w:val="es-ES_tradnl"/>
        </w:rPr>
        <w:t>EL BCRP</w:t>
      </w:r>
      <w:r w:rsidR="004D63BA" w:rsidRPr="00E37997">
        <w:rPr>
          <w:szCs w:val="22"/>
          <w:lang w:val="es-ES_tradnl"/>
        </w:rPr>
        <w:t xml:space="preserve"> deberán tener la siguiente estructura:</w:t>
      </w:r>
    </w:p>
    <w:p w14:paraId="62D9A5F8" w14:textId="77777777" w:rsidR="004D63BA" w:rsidRPr="00E37997" w:rsidRDefault="004D63BA" w:rsidP="00E37997">
      <w:pPr>
        <w:pStyle w:val="Header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</w:p>
    <w:p w14:paraId="52C0F3CF" w14:textId="77777777" w:rsidR="009D71E0" w:rsidRPr="00E37997" w:rsidRDefault="003E1D5A" w:rsidP="00E37997">
      <w:pPr>
        <w:pStyle w:val="Header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  <w:r w:rsidRPr="00E37997">
        <w:rPr>
          <w:szCs w:val="22"/>
          <w:lang w:val="es-ES_tradnl"/>
        </w:rPr>
        <w:t>REP-</w:t>
      </w:r>
      <w:r w:rsidR="009D71E0" w:rsidRPr="00E37997">
        <w:rPr>
          <w:szCs w:val="22"/>
          <w:lang w:val="es-ES_tradnl"/>
        </w:rPr>
        <w:t>CAR-</w:t>
      </w:r>
      <w:r w:rsidR="004D101F">
        <w:rPr>
          <w:szCs w:val="22"/>
          <w:lang w:val="es-ES_tradnl"/>
        </w:rPr>
        <w:t>LIQ-</w:t>
      </w:r>
      <w:r w:rsidR="009D71E0" w:rsidRPr="00E37997">
        <w:rPr>
          <w:szCs w:val="22"/>
          <w:lang w:val="es-ES_tradnl"/>
        </w:rPr>
        <w:t>[Código d</w:t>
      </w:r>
      <w:r w:rsidR="00715F39" w:rsidRPr="00E37997">
        <w:rPr>
          <w:szCs w:val="22"/>
          <w:lang w:val="es-ES_tradnl"/>
        </w:rPr>
        <w:t>e la EP]-[N° de Operación]</w:t>
      </w:r>
      <w:r w:rsidR="003C7853">
        <w:rPr>
          <w:szCs w:val="22"/>
          <w:lang w:val="es-ES_tradnl"/>
        </w:rPr>
        <w:t>-[Secuencia]</w:t>
      </w:r>
      <w:r w:rsidR="00715F39" w:rsidRPr="00E37997">
        <w:rPr>
          <w:szCs w:val="22"/>
          <w:lang w:val="es-ES_tradnl"/>
        </w:rPr>
        <w:t>.xlsx</w:t>
      </w:r>
    </w:p>
    <w:p w14:paraId="4F56286F" w14:textId="77777777" w:rsidR="009D71E0" w:rsidRPr="00E37997" w:rsidRDefault="003E1D5A" w:rsidP="00E37997">
      <w:pPr>
        <w:pStyle w:val="Header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  <w:r w:rsidRPr="00E37997">
        <w:rPr>
          <w:szCs w:val="22"/>
          <w:lang w:val="es-ES_tradnl"/>
        </w:rPr>
        <w:t>REP-</w:t>
      </w:r>
      <w:r w:rsidR="009D71E0" w:rsidRPr="00E37997">
        <w:rPr>
          <w:szCs w:val="22"/>
          <w:lang w:val="es-ES_tradnl"/>
        </w:rPr>
        <w:t>CAR-</w:t>
      </w:r>
      <w:r w:rsidR="004D101F">
        <w:rPr>
          <w:szCs w:val="22"/>
          <w:lang w:val="es-ES_tradnl"/>
        </w:rPr>
        <w:t>LIQ-</w:t>
      </w:r>
      <w:r w:rsidR="003C7853">
        <w:rPr>
          <w:szCs w:val="22"/>
          <w:lang w:val="es-ES_tradnl"/>
        </w:rPr>
        <w:t>[</w:t>
      </w:r>
      <w:r w:rsidR="009D71E0" w:rsidRPr="00E37997">
        <w:rPr>
          <w:szCs w:val="22"/>
          <w:lang w:val="es-ES_tradnl"/>
        </w:rPr>
        <w:t>000#</w:t>
      </w:r>
      <w:r w:rsidR="003C7853">
        <w:rPr>
          <w:szCs w:val="22"/>
          <w:lang w:val="es-ES_tradnl"/>
        </w:rPr>
        <w:t>]</w:t>
      </w:r>
      <w:r w:rsidR="009D71E0" w:rsidRPr="00E37997">
        <w:rPr>
          <w:szCs w:val="22"/>
          <w:lang w:val="es-ES_tradnl"/>
        </w:rPr>
        <w:t>-</w:t>
      </w:r>
      <w:r w:rsidR="003C7853">
        <w:rPr>
          <w:szCs w:val="22"/>
          <w:lang w:val="es-ES_tradnl"/>
        </w:rPr>
        <w:t>[</w:t>
      </w:r>
      <w:r w:rsidR="009D71E0" w:rsidRPr="00E37997">
        <w:rPr>
          <w:szCs w:val="22"/>
          <w:lang w:val="es-ES_tradnl"/>
        </w:rPr>
        <w:t>000#</w:t>
      </w:r>
      <w:r w:rsidR="003C7853">
        <w:rPr>
          <w:szCs w:val="22"/>
          <w:lang w:val="es-ES_tradnl"/>
        </w:rPr>
        <w:t>]</w:t>
      </w:r>
      <w:r w:rsidR="009D71E0" w:rsidRPr="00E37997">
        <w:rPr>
          <w:szCs w:val="22"/>
          <w:lang w:val="es-ES_tradnl"/>
        </w:rPr>
        <w:t>-</w:t>
      </w:r>
      <w:r w:rsidR="003C7853">
        <w:rPr>
          <w:szCs w:val="22"/>
          <w:lang w:val="es-ES_tradnl"/>
        </w:rPr>
        <w:t>[</w:t>
      </w:r>
      <w:r w:rsidR="003C7853" w:rsidRPr="00E37997">
        <w:rPr>
          <w:szCs w:val="22"/>
          <w:lang w:val="es-ES_tradnl"/>
        </w:rPr>
        <w:t>000#</w:t>
      </w:r>
      <w:r w:rsidR="003C7853">
        <w:rPr>
          <w:szCs w:val="22"/>
          <w:lang w:val="es-ES_tradnl"/>
        </w:rPr>
        <w:t>]</w:t>
      </w:r>
      <w:r w:rsidR="009D71E0" w:rsidRPr="00E37997">
        <w:rPr>
          <w:szCs w:val="22"/>
          <w:lang w:val="es-ES_tradnl"/>
        </w:rPr>
        <w:t>.xlsx</w:t>
      </w:r>
    </w:p>
    <w:p w14:paraId="375A1B2B" w14:textId="77777777" w:rsidR="009D71E0" w:rsidRPr="00E37997" w:rsidRDefault="009D71E0" w:rsidP="00E37997">
      <w:pPr>
        <w:pStyle w:val="Header"/>
        <w:tabs>
          <w:tab w:val="clear" w:pos="4252"/>
          <w:tab w:val="clear" w:pos="8504"/>
        </w:tabs>
        <w:ind w:left="567" w:hanging="567"/>
        <w:jc w:val="both"/>
        <w:rPr>
          <w:szCs w:val="22"/>
          <w:lang w:val="es-ES_tradnl"/>
        </w:rPr>
      </w:pPr>
    </w:p>
    <w:p w14:paraId="16D1093B" w14:textId="77777777" w:rsidR="002F140D" w:rsidRPr="00E37997" w:rsidRDefault="00B21001" w:rsidP="00736A2F">
      <w:pPr>
        <w:pStyle w:val="Header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  <w:r w:rsidRPr="00E37997">
        <w:rPr>
          <w:b/>
          <w:szCs w:val="22"/>
          <w:lang w:val="es-ES_tradnl"/>
        </w:rPr>
        <w:t>SEGUNDA</w:t>
      </w:r>
      <w:r w:rsidRPr="00E37997">
        <w:rPr>
          <w:szCs w:val="22"/>
          <w:lang w:val="es-ES_tradnl"/>
        </w:rPr>
        <w:t xml:space="preserve">.- </w:t>
      </w:r>
      <w:r w:rsidR="00D55881" w:rsidRPr="00E37997">
        <w:rPr>
          <w:szCs w:val="22"/>
          <w:lang w:val="es-ES_tradnl"/>
        </w:rPr>
        <w:t>Características de la Operación comprendida en el presente C</w:t>
      </w:r>
      <w:r w:rsidR="00E37997">
        <w:rPr>
          <w:szCs w:val="22"/>
          <w:lang w:val="es-ES_tradnl"/>
        </w:rPr>
        <w:t>ontrato</w:t>
      </w:r>
      <w:r w:rsidR="005823BA">
        <w:rPr>
          <w:szCs w:val="22"/>
          <w:lang w:val="es-ES_tradnl"/>
        </w:rPr>
        <w:t xml:space="preserve"> </w:t>
      </w:r>
      <w:r w:rsidRPr="00E37997">
        <w:rPr>
          <w:szCs w:val="22"/>
          <w:lang w:val="es-ES_tradnl"/>
        </w:rPr>
        <w:t>Específico:</w:t>
      </w:r>
    </w:p>
    <w:p w14:paraId="6C5BD048" w14:textId="77777777" w:rsidR="00852A85" w:rsidRPr="00E37997" w:rsidRDefault="00852A85" w:rsidP="00E37997">
      <w:pPr>
        <w:pStyle w:val="Header"/>
        <w:tabs>
          <w:tab w:val="clear" w:pos="4252"/>
          <w:tab w:val="clear" w:pos="8504"/>
        </w:tabs>
        <w:ind w:left="567" w:hanging="567"/>
        <w:jc w:val="both"/>
        <w:rPr>
          <w:szCs w:val="22"/>
          <w:lang w:val="es-ES_tradnl"/>
        </w:rPr>
      </w:pPr>
    </w:p>
    <w:tbl>
      <w:tblPr>
        <w:tblW w:w="878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812"/>
      </w:tblGrid>
      <w:tr w:rsidR="005823BA" w:rsidRPr="005823BA" w14:paraId="07F1C40A" w14:textId="77777777" w:rsidTr="00462502">
        <w:trPr>
          <w:trHeight w:val="474"/>
        </w:trPr>
        <w:tc>
          <w:tcPr>
            <w:tcW w:w="2977" w:type="dxa"/>
            <w:vAlign w:val="center"/>
          </w:tcPr>
          <w:p w14:paraId="19524EAC" w14:textId="77777777" w:rsidR="00852A85" w:rsidRPr="00E37997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>N° de Operación</w:t>
            </w:r>
          </w:p>
        </w:tc>
        <w:tc>
          <w:tcPr>
            <w:tcW w:w="5812" w:type="dxa"/>
            <w:vAlign w:val="center"/>
          </w:tcPr>
          <w:p w14:paraId="05A0E159" w14:textId="77777777" w:rsidR="00852A85" w:rsidRPr="005823BA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Número de la subasta</w:t>
            </w:r>
            <w:r w:rsidRPr="004D66A5" w:rsidDel="009F1F39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 xml:space="preserve"> </w:t>
            </w:r>
            <w:r w:rsidR="00BC650E"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 xml:space="preserve"> u operación directa</w:t>
            </w:r>
          </w:p>
        </w:tc>
      </w:tr>
      <w:tr w:rsidR="005823BA" w:rsidRPr="005823BA" w14:paraId="77CD3E23" w14:textId="77777777" w:rsidTr="00462502">
        <w:trPr>
          <w:trHeight w:val="474"/>
        </w:trPr>
        <w:tc>
          <w:tcPr>
            <w:tcW w:w="2977" w:type="dxa"/>
            <w:vAlign w:val="center"/>
          </w:tcPr>
          <w:p w14:paraId="60FA69A8" w14:textId="77777777" w:rsidR="00852A85" w:rsidRPr="004D66A5" w:rsidRDefault="00736244" w:rsidP="00E37997">
            <w:pPr>
              <w:jc w:val="both"/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Mecanismo</w:t>
            </w:r>
          </w:p>
        </w:tc>
        <w:tc>
          <w:tcPr>
            <w:tcW w:w="5812" w:type="dxa"/>
            <w:vAlign w:val="center"/>
          </w:tcPr>
          <w:p w14:paraId="01B42A73" w14:textId="77777777" w:rsidR="00852A85" w:rsidRPr="004D66A5" w:rsidRDefault="00852A85" w:rsidP="00E37997">
            <w:pPr>
              <w:jc w:val="both"/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Subasta o Directa</w:t>
            </w:r>
          </w:p>
        </w:tc>
      </w:tr>
      <w:tr w:rsidR="005823BA" w:rsidRPr="005823BA" w14:paraId="5AF834E9" w14:textId="77777777" w:rsidTr="00462502">
        <w:trPr>
          <w:trHeight w:val="474"/>
        </w:trPr>
        <w:tc>
          <w:tcPr>
            <w:tcW w:w="2977" w:type="dxa"/>
            <w:vAlign w:val="center"/>
          </w:tcPr>
          <w:p w14:paraId="17D5C60C" w14:textId="77777777" w:rsidR="00852A85" w:rsidRPr="00E37997" w:rsidRDefault="007B01CA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Cartera de Crédito</w:t>
            </w:r>
          </w:p>
        </w:tc>
        <w:tc>
          <w:tcPr>
            <w:tcW w:w="5812" w:type="dxa"/>
            <w:vAlign w:val="center"/>
          </w:tcPr>
          <w:p w14:paraId="7F1B722D" w14:textId="77777777" w:rsidR="00852A85" w:rsidRPr="005823BA" w:rsidRDefault="007B01CA" w:rsidP="007B01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1CA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Cartera de Créditos Individuales</w:t>
            </w:r>
            <w:r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 xml:space="preserve">; </w:t>
            </w:r>
            <w:r w:rsidRPr="007B01CA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Certificados de Participación con Garantía</w:t>
            </w:r>
          </w:p>
        </w:tc>
      </w:tr>
      <w:tr w:rsidR="005823BA" w:rsidRPr="005823BA" w14:paraId="251ADFF6" w14:textId="77777777" w:rsidTr="00462502">
        <w:trPr>
          <w:trHeight w:val="474"/>
        </w:trPr>
        <w:tc>
          <w:tcPr>
            <w:tcW w:w="2977" w:type="dxa"/>
            <w:vAlign w:val="center"/>
          </w:tcPr>
          <w:p w14:paraId="7F12C58D" w14:textId="77777777" w:rsidR="00852A85" w:rsidRPr="00E37997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lastRenderedPageBreak/>
              <w:t>Fecha de Venta</w:t>
            </w:r>
            <w:r w:rsidR="00A71978" w:rsidRPr="00E379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6504" w:rsidRPr="00E37997">
              <w:rPr>
                <w:rFonts w:ascii="Arial" w:hAnsi="Arial" w:cs="Arial"/>
                <w:sz w:val="22"/>
                <w:szCs w:val="22"/>
              </w:rPr>
              <w:t>(</w:t>
            </w:r>
            <w:r w:rsidR="009E6A14" w:rsidRPr="00E37997">
              <w:rPr>
                <w:rFonts w:ascii="Arial" w:hAnsi="Arial" w:cs="Arial"/>
                <w:sz w:val="22"/>
                <w:szCs w:val="22"/>
              </w:rPr>
              <w:t>Negociación</w:t>
            </w:r>
            <w:r w:rsidR="00676504" w:rsidRPr="00E379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812" w:type="dxa"/>
            <w:vAlign w:val="center"/>
          </w:tcPr>
          <w:p w14:paraId="0E31BC8B" w14:textId="77777777" w:rsidR="00852A85" w:rsidRPr="005823BA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dd-mm-aaaa</w:t>
            </w:r>
          </w:p>
        </w:tc>
      </w:tr>
      <w:tr w:rsidR="005823BA" w:rsidRPr="005823BA" w14:paraId="773B07E7" w14:textId="77777777" w:rsidTr="00462502">
        <w:trPr>
          <w:trHeight w:val="474"/>
        </w:trPr>
        <w:tc>
          <w:tcPr>
            <w:tcW w:w="2977" w:type="dxa"/>
            <w:vAlign w:val="center"/>
          </w:tcPr>
          <w:p w14:paraId="130EB471" w14:textId="77777777" w:rsidR="001B543B" w:rsidRPr="00E37997" w:rsidRDefault="001B543B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>Fecha de Liquidación de  Venta</w:t>
            </w:r>
            <w:r w:rsidR="00A71978" w:rsidRPr="00E379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6504" w:rsidRPr="00E37997">
              <w:rPr>
                <w:rFonts w:ascii="Arial" w:hAnsi="Arial" w:cs="Arial"/>
                <w:sz w:val="22"/>
                <w:szCs w:val="22"/>
              </w:rPr>
              <w:t>(Desembolso)</w:t>
            </w:r>
          </w:p>
        </w:tc>
        <w:tc>
          <w:tcPr>
            <w:tcW w:w="5812" w:type="dxa"/>
            <w:vAlign w:val="center"/>
          </w:tcPr>
          <w:p w14:paraId="362CFEE2" w14:textId="77777777" w:rsidR="001B543B" w:rsidRPr="004D66A5" w:rsidRDefault="001B543B" w:rsidP="00E37997">
            <w:pPr>
              <w:jc w:val="both"/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dd-mm-aaaa</w:t>
            </w:r>
          </w:p>
        </w:tc>
      </w:tr>
      <w:tr w:rsidR="005823BA" w:rsidRPr="005823BA" w14:paraId="11040426" w14:textId="77777777" w:rsidTr="00462502">
        <w:trPr>
          <w:trHeight w:val="474"/>
        </w:trPr>
        <w:tc>
          <w:tcPr>
            <w:tcW w:w="2977" w:type="dxa"/>
            <w:vAlign w:val="center"/>
          </w:tcPr>
          <w:p w14:paraId="2EAB2706" w14:textId="77777777" w:rsidR="00852A85" w:rsidRPr="00E37997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>Fecha de Recompra</w:t>
            </w:r>
          </w:p>
        </w:tc>
        <w:tc>
          <w:tcPr>
            <w:tcW w:w="5812" w:type="dxa"/>
            <w:vAlign w:val="center"/>
          </w:tcPr>
          <w:p w14:paraId="7704DFA0" w14:textId="77777777" w:rsidR="00852A85" w:rsidRPr="004D66A5" w:rsidRDefault="00852A85" w:rsidP="00E37997">
            <w:pPr>
              <w:jc w:val="both"/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dd-mm-aaaa</w:t>
            </w:r>
          </w:p>
        </w:tc>
      </w:tr>
      <w:tr w:rsidR="005823BA" w:rsidRPr="005823BA" w14:paraId="0E14247A" w14:textId="77777777" w:rsidTr="00462502">
        <w:trPr>
          <w:trHeight w:val="474"/>
        </w:trPr>
        <w:tc>
          <w:tcPr>
            <w:tcW w:w="2977" w:type="dxa"/>
            <w:vAlign w:val="center"/>
          </w:tcPr>
          <w:p w14:paraId="621FE591" w14:textId="77777777" w:rsidR="00852A85" w:rsidRPr="00E37997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>Monto Inicial (de venta)</w:t>
            </w:r>
          </w:p>
        </w:tc>
        <w:tc>
          <w:tcPr>
            <w:tcW w:w="5812" w:type="dxa"/>
            <w:vAlign w:val="center"/>
          </w:tcPr>
          <w:p w14:paraId="7CB6DB9E" w14:textId="77777777" w:rsidR="00852A85" w:rsidRPr="004D66A5" w:rsidRDefault="00852A85" w:rsidP="00E37997">
            <w:pPr>
              <w:jc w:val="both"/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Unidades con dos decimales</w:t>
            </w:r>
          </w:p>
        </w:tc>
      </w:tr>
      <w:tr w:rsidR="005823BA" w:rsidRPr="005823BA" w14:paraId="5F224335" w14:textId="77777777" w:rsidTr="00462502">
        <w:trPr>
          <w:trHeight w:val="474"/>
        </w:trPr>
        <w:tc>
          <w:tcPr>
            <w:tcW w:w="2977" w:type="dxa"/>
            <w:vAlign w:val="center"/>
          </w:tcPr>
          <w:p w14:paraId="35C81B56" w14:textId="77777777" w:rsidR="00852A85" w:rsidRPr="00E37997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>Monto Final (de recompra)</w:t>
            </w:r>
          </w:p>
        </w:tc>
        <w:tc>
          <w:tcPr>
            <w:tcW w:w="5812" w:type="dxa"/>
            <w:vAlign w:val="center"/>
          </w:tcPr>
          <w:p w14:paraId="58CD82DD" w14:textId="77777777" w:rsidR="00852A85" w:rsidRPr="005823BA" w:rsidRDefault="0072547F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3BA">
              <w:rPr>
                <w:rFonts w:ascii="Arial" w:hAnsi="Arial" w:cs="Arial"/>
                <w:sz w:val="22"/>
                <w:szCs w:val="22"/>
              </w:rPr>
              <w:t>Será el monto de la última recompra más los intereses que corresponda</w:t>
            </w:r>
          </w:p>
        </w:tc>
      </w:tr>
      <w:tr w:rsidR="005823BA" w:rsidRPr="005823BA" w14:paraId="2958A475" w14:textId="77777777" w:rsidTr="00462502">
        <w:trPr>
          <w:trHeight w:val="47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07929D0" w14:textId="77777777" w:rsidR="00BC650E" w:rsidRPr="00E37997" w:rsidRDefault="00BC650E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>Tasa de Interés</w:t>
            </w:r>
            <w:r w:rsidR="00F71D0A" w:rsidRPr="00E37997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F71D0A" w:rsidRPr="008C59FC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345D713" w14:textId="77777777" w:rsidR="00BC650E" w:rsidRPr="005960F9" w:rsidRDefault="00BC650E" w:rsidP="00E37997">
            <w:pPr>
              <w:jc w:val="both"/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 w:rsidRPr="005960F9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Porcentaje con dos decimales por ciento</w:t>
            </w:r>
          </w:p>
        </w:tc>
      </w:tr>
      <w:tr w:rsidR="005823BA" w:rsidRPr="005823BA" w14:paraId="6B7188E2" w14:textId="77777777" w:rsidTr="00462502">
        <w:trPr>
          <w:trHeight w:val="47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8A9EAF5" w14:textId="77777777" w:rsidR="0072547F" w:rsidRPr="00E37997" w:rsidRDefault="0072547F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>Periodicidad de cobro de intereses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39A78A4D" w14:textId="77777777" w:rsidR="0072547F" w:rsidRPr="005960F9" w:rsidRDefault="00223238" w:rsidP="00223238">
            <w:pPr>
              <w:jc w:val="both"/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Fin de Periodo ó Mensual</w:t>
            </w:r>
          </w:p>
        </w:tc>
      </w:tr>
      <w:tr w:rsidR="005823BA" w:rsidRPr="005823BA" w14:paraId="319B10EC" w14:textId="77777777" w:rsidTr="00462502">
        <w:trPr>
          <w:trHeight w:val="47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D9D28EE" w14:textId="77777777" w:rsidR="00852A85" w:rsidRPr="00E37997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>Tipo de cambio (si aplica)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113822C8" w14:textId="77777777" w:rsidR="00852A85" w:rsidRPr="005960F9" w:rsidRDefault="00852A85" w:rsidP="00E37997">
            <w:pPr>
              <w:jc w:val="both"/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 w:rsidRPr="005960F9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Unidades con cuatro decimales</w:t>
            </w:r>
          </w:p>
        </w:tc>
      </w:tr>
      <w:tr w:rsidR="00F71D0A" w:rsidRPr="00E37997" w14:paraId="6BF20776" w14:textId="77777777" w:rsidTr="00462502">
        <w:trPr>
          <w:trHeight w:val="474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E50567" w14:textId="77777777" w:rsidR="005823BA" w:rsidRPr="004A466E" w:rsidRDefault="005823BA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0D07D4" w14:textId="77777777" w:rsidR="00F71D0A" w:rsidRPr="00E37997" w:rsidRDefault="00F71D0A" w:rsidP="00BF3A79">
            <w:pPr>
              <w:jc w:val="both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 xml:space="preserve">1/ </w:t>
            </w:r>
            <w:r w:rsidR="00BF3A79">
              <w:rPr>
                <w:rFonts w:ascii="Arial" w:hAnsi="Arial" w:cs="Arial"/>
                <w:sz w:val="22"/>
                <w:szCs w:val="22"/>
              </w:rPr>
              <w:t>S</w:t>
            </w:r>
            <w:r w:rsidRPr="00E37997">
              <w:rPr>
                <w:rFonts w:ascii="Arial" w:hAnsi="Arial" w:cs="Arial"/>
                <w:sz w:val="22"/>
                <w:szCs w:val="22"/>
              </w:rPr>
              <w:t xml:space="preserve">i hay más de una postura, se </w:t>
            </w:r>
            <w:r w:rsidR="00A978DA" w:rsidRPr="00E37997">
              <w:rPr>
                <w:rFonts w:ascii="Arial" w:hAnsi="Arial" w:cs="Arial"/>
                <w:sz w:val="22"/>
                <w:szCs w:val="22"/>
              </w:rPr>
              <w:t xml:space="preserve">calculará </w:t>
            </w:r>
            <w:r w:rsidRPr="00E37997">
              <w:rPr>
                <w:rFonts w:ascii="Arial" w:hAnsi="Arial" w:cs="Arial"/>
                <w:sz w:val="22"/>
                <w:szCs w:val="22"/>
              </w:rPr>
              <w:t>la tasa de interés implícita de la operación, sin redondearla</w:t>
            </w:r>
            <w:r w:rsidR="00A978DA" w:rsidRPr="00E379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F152398" w14:textId="77777777" w:rsidR="00D55881" w:rsidRPr="00E37997" w:rsidRDefault="00D55881" w:rsidP="00E37997">
      <w:pPr>
        <w:pStyle w:val="Header"/>
        <w:tabs>
          <w:tab w:val="clear" w:pos="4252"/>
          <w:tab w:val="clear" w:pos="8504"/>
        </w:tabs>
        <w:jc w:val="both"/>
        <w:rPr>
          <w:szCs w:val="22"/>
          <w:lang w:val="es-PE"/>
        </w:rPr>
      </w:pPr>
    </w:p>
    <w:p w14:paraId="290348A0" w14:textId="77777777" w:rsidR="00B21001" w:rsidRPr="00E37997" w:rsidRDefault="00736A2F" w:rsidP="00E37997">
      <w:pPr>
        <w:pStyle w:val="BodyText3"/>
        <w:tabs>
          <w:tab w:val="left" w:pos="-1440"/>
          <w:tab w:val="left" w:pos="-720"/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TERCERA</w:t>
      </w:r>
      <w:r w:rsidR="004F21F2" w:rsidRPr="00E37997">
        <w:rPr>
          <w:rFonts w:ascii="Arial" w:hAnsi="Arial" w:cs="Arial"/>
          <w:szCs w:val="22"/>
          <w:lang w:val="es-ES_tradnl"/>
        </w:rPr>
        <w:t xml:space="preserve">.- </w:t>
      </w:r>
      <w:r w:rsidR="00B21001" w:rsidRPr="00E37997">
        <w:rPr>
          <w:rFonts w:ascii="Arial" w:hAnsi="Arial" w:cs="Arial"/>
          <w:b/>
          <w:szCs w:val="22"/>
        </w:rPr>
        <w:t xml:space="preserve"> </w:t>
      </w:r>
      <w:r w:rsidR="00B21001" w:rsidRPr="00E37997">
        <w:rPr>
          <w:rFonts w:ascii="Arial" w:hAnsi="Arial" w:cs="Arial"/>
          <w:szCs w:val="22"/>
        </w:rPr>
        <w:t xml:space="preserve">Para efectos del presente contrato, LA EP declara haber otorgado poder </w:t>
      </w:r>
      <w:r w:rsidR="00707F95">
        <w:rPr>
          <w:rFonts w:ascii="Arial" w:hAnsi="Arial" w:cs="Arial"/>
          <w:szCs w:val="22"/>
        </w:rPr>
        <w:t xml:space="preserve">irrevocable </w:t>
      </w:r>
      <w:r w:rsidR="00B21001" w:rsidRPr="00E37997">
        <w:rPr>
          <w:rFonts w:ascii="Arial" w:hAnsi="Arial" w:cs="Arial"/>
          <w:szCs w:val="22"/>
        </w:rPr>
        <w:t>a favor de EL BCRP,</w:t>
      </w:r>
      <w:r w:rsidR="002B065C" w:rsidRPr="00E37997">
        <w:rPr>
          <w:rFonts w:ascii="Arial" w:hAnsi="Arial" w:cs="Arial"/>
          <w:szCs w:val="22"/>
        </w:rPr>
        <w:t xml:space="preserve"> </w:t>
      </w:r>
      <w:r w:rsidR="00707F95">
        <w:rPr>
          <w:rFonts w:ascii="Arial" w:hAnsi="Arial" w:cs="Arial"/>
          <w:szCs w:val="22"/>
        </w:rPr>
        <w:t xml:space="preserve">a que hace referencia </w:t>
      </w:r>
      <w:r w:rsidR="00B21001" w:rsidRPr="00E37997">
        <w:rPr>
          <w:rFonts w:ascii="Arial" w:hAnsi="Arial" w:cs="Arial"/>
          <w:szCs w:val="22"/>
        </w:rPr>
        <w:t>la Cláusula Sétima del Contrato Marco</w:t>
      </w:r>
      <w:r w:rsidR="00C16625" w:rsidRPr="00E37997">
        <w:rPr>
          <w:rFonts w:ascii="Arial" w:hAnsi="Arial" w:cs="Arial"/>
          <w:szCs w:val="22"/>
        </w:rPr>
        <w:t>.</w:t>
      </w:r>
    </w:p>
    <w:p w14:paraId="7E05E3C2" w14:textId="77777777" w:rsidR="00B21001" w:rsidRPr="00E37997" w:rsidRDefault="00B21001" w:rsidP="00E37997">
      <w:pPr>
        <w:pStyle w:val="BodyText3"/>
        <w:tabs>
          <w:tab w:val="left" w:pos="-1440"/>
          <w:tab w:val="left" w:pos="-720"/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b/>
          <w:szCs w:val="22"/>
        </w:rPr>
      </w:pPr>
    </w:p>
    <w:p w14:paraId="42FF8E2D" w14:textId="6AE574DD" w:rsidR="00452972" w:rsidRPr="00C86CA5" w:rsidRDefault="00736A2F" w:rsidP="00E379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CUARTA</w:t>
      </w:r>
      <w:r w:rsidR="00452972" w:rsidRPr="00707F95">
        <w:rPr>
          <w:rFonts w:ascii="Arial" w:hAnsi="Arial" w:cs="Arial"/>
          <w:sz w:val="22"/>
          <w:szCs w:val="22"/>
        </w:rPr>
        <w:t xml:space="preserve">.- </w:t>
      </w:r>
      <w:r w:rsidR="00C5577C" w:rsidRPr="00C5577C">
        <w:rPr>
          <w:rFonts w:ascii="Arial" w:hAnsi="Arial" w:cs="Arial"/>
          <w:sz w:val="22"/>
          <w:szCs w:val="22"/>
        </w:rPr>
        <w:t xml:space="preserve">En caso EL BCRP decida ejercer su derecho de aplicar la compensación establecida en el literal b del artículo 10 de la Ley de las Operaciones de Reporte (Ley N° 30052 y sus modificatorias), EL BCRP valorizará la cartera para los fines a que se refiere el numeral 15.5 de la Cláusula Décima Quinta del Contrato Marco, aplicando los siguientes </w:t>
      </w:r>
      <w:proofErr w:type="spellStart"/>
      <w:r w:rsidR="00C5577C" w:rsidRPr="00C5577C">
        <w:rPr>
          <w:rFonts w:ascii="Arial" w:hAnsi="Arial" w:cs="Arial"/>
          <w:i/>
          <w:sz w:val="22"/>
          <w:szCs w:val="22"/>
        </w:rPr>
        <w:t>Haircuts</w:t>
      </w:r>
      <w:proofErr w:type="spellEnd"/>
      <w:r w:rsidR="00C5577C" w:rsidRPr="00C5577C">
        <w:rPr>
          <w:rFonts w:ascii="Arial" w:hAnsi="Arial" w:cs="Arial"/>
          <w:sz w:val="22"/>
          <w:szCs w:val="22"/>
        </w:rPr>
        <w:t xml:space="preserve"> al saldo pendiente de pago de los créditos garantizados no recomprados: 20 por ciento para créditos con calificación de riesgo “Normal”, 30 por ciento para créditos con calificación de riesgo “Con Problemas Potenciales” y 50 por ciento para créditos con calificación de riesgo distinta a las anteriores. Posteriormente, EL BCRP podrá llevar a cabo una subasta de los créditos no recomprados, invitando a participar a entidades del sistema financiero y otras que estime pertinente.</w:t>
      </w:r>
    </w:p>
    <w:p w14:paraId="60FE2232" w14:textId="77777777" w:rsidR="000533C6" w:rsidRPr="00C86CA5" w:rsidRDefault="000533C6" w:rsidP="00E37997">
      <w:pPr>
        <w:jc w:val="both"/>
        <w:rPr>
          <w:rFonts w:ascii="Arial" w:hAnsi="Arial" w:cs="Arial"/>
          <w:sz w:val="22"/>
          <w:szCs w:val="22"/>
        </w:rPr>
      </w:pPr>
    </w:p>
    <w:p w14:paraId="1072CDCE" w14:textId="77777777" w:rsidR="000533C6" w:rsidRPr="00C86CA5" w:rsidRDefault="00736A2F" w:rsidP="00E379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QUINTA</w:t>
      </w:r>
      <w:r w:rsidR="000533C6" w:rsidRPr="00C86CA5">
        <w:rPr>
          <w:rFonts w:ascii="Arial" w:hAnsi="Arial" w:cs="Arial"/>
          <w:sz w:val="22"/>
          <w:szCs w:val="22"/>
        </w:rPr>
        <w:t>.- Para fines de la Quinta Disposici</w:t>
      </w:r>
      <w:r w:rsidR="00A817B9" w:rsidRPr="00C86CA5">
        <w:rPr>
          <w:rFonts w:ascii="Arial" w:hAnsi="Arial" w:cs="Arial"/>
          <w:sz w:val="22"/>
          <w:szCs w:val="22"/>
        </w:rPr>
        <w:t>ón Final</w:t>
      </w:r>
      <w:r w:rsidR="00073EC6" w:rsidRPr="00C86CA5">
        <w:rPr>
          <w:rFonts w:ascii="Arial" w:hAnsi="Arial" w:cs="Arial"/>
          <w:sz w:val="22"/>
          <w:szCs w:val="22"/>
        </w:rPr>
        <w:t xml:space="preserve"> de la Circular N° </w:t>
      </w:r>
      <w:r w:rsidR="007055FB" w:rsidRPr="00361EE6">
        <w:rPr>
          <w:rFonts w:ascii="Arial" w:hAnsi="Arial" w:cs="Arial"/>
          <w:bCs/>
          <w:sz w:val="22"/>
          <w:szCs w:val="22"/>
          <w:lang w:val="es-PE" w:eastAsia="es-PE"/>
        </w:rPr>
        <w:t>0011-2021-BCRP</w:t>
      </w:r>
      <w:r w:rsidR="00A817B9" w:rsidRPr="00C86CA5">
        <w:rPr>
          <w:rFonts w:ascii="Arial" w:hAnsi="Arial" w:cs="Arial"/>
          <w:sz w:val="22"/>
          <w:szCs w:val="22"/>
        </w:rPr>
        <w:t>, el</w:t>
      </w:r>
      <w:r w:rsidR="00C86CA5">
        <w:rPr>
          <w:rFonts w:ascii="Arial" w:hAnsi="Arial" w:cs="Arial"/>
          <w:sz w:val="22"/>
          <w:szCs w:val="22"/>
        </w:rPr>
        <w:t xml:space="preserve"> correo electrónico del BCRP es:</w:t>
      </w:r>
    </w:p>
    <w:p w14:paraId="1F4E120F" w14:textId="77777777" w:rsidR="00A817B9" w:rsidRPr="00C86CA5" w:rsidRDefault="00A817B9" w:rsidP="00E37997">
      <w:pPr>
        <w:jc w:val="both"/>
        <w:rPr>
          <w:rFonts w:ascii="Arial" w:hAnsi="Arial" w:cs="Arial"/>
          <w:sz w:val="22"/>
          <w:szCs w:val="22"/>
        </w:rPr>
      </w:pPr>
    </w:p>
    <w:p w14:paraId="11178219" w14:textId="77777777" w:rsidR="00A817B9" w:rsidRPr="00C86CA5" w:rsidRDefault="00095DCB" w:rsidP="00C86CA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hyperlink r:id="rId8" w:history="1">
        <w:r w:rsidR="00A817B9" w:rsidRPr="00C86CA5">
          <w:rPr>
            <w:rStyle w:val="Hyperlink"/>
            <w:rFonts w:ascii="Arial" w:hAnsi="Arial" w:cs="Arial"/>
            <w:sz w:val="22"/>
            <w:szCs w:val="22"/>
            <w:lang w:val="es-ES_tradnl"/>
          </w:rPr>
          <w:t>Dpto.RegistroLiqConOpeInt@bcrp.gob.pe</w:t>
        </w:r>
      </w:hyperlink>
    </w:p>
    <w:p w14:paraId="4DE6B8D8" w14:textId="77777777" w:rsidR="00707F95" w:rsidRPr="00C86CA5" w:rsidRDefault="00707F95" w:rsidP="00E37997">
      <w:pPr>
        <w:jc w:val="both"/>
        <w:rPr>
          <w:rFonts w:ascii="Arial" w:hAnsi="Arial" w:cs="Arial"/>
          <w:sz w:val="22"/>
          <w:szCs w:val="22"/>
        </w:rPr>
      </w:pPr>
    </w:p>
    <w:p w14:paraId="274E266A" w14:textId="77777777" w:rsidR="00A626F5" w:rsidRPr="00E37997" w:rsidRDefault="00A626F5" w:rsidP="00E37997">
      <w:pPr>
        <w:jc w:val="both"/>
        <w:rPr>
          <w:rFonts w:ascii="Arial" w:hAnsi="Arial" w:cs="Arial"/>
          <w:sz w:val="22"/>
          <w:szCs w:val="22"/>
        </w:rPr>
      </w:pPr>
    </w:p>
    <w:p w14:paraId="7C247237" w14:textId="77777777" w:rsidR="00A626F5" w:rsidRDefault="00A626F5" w:rsidP="00E37997">
      <w:pPr>
        <w:jc w:val="both"/>
        <w:rPr>
          <w:rFonts w:ascii="Arial" w:hAnsi="Arial" w:cs="Arial"/>
          <w:sz w:val="22"/>
          <w:szCs w:val="22"/>
        </w:rPr>
      </w:pPr>
    </w:p>
    <w:p w14:paraId="1D3EB3A6" w14:textId="77777777" w:rsidR="005823BA" w:rsidRDefault="005823BA" w:rsidP="00E37997">
      <w:pPr>
        <w:jc w:val="both"/>
        <w:rPr>
          <w:rFonts w:ascii="Arial" w:hAnsi="Arial" w:cs="Arial"/>
          <w:sz w:val="22"/>
          <w:szCs w:val="22"/>
        </w:rPr>
      </w:pPr>
    </w:p>
    <w:p w14:paraId="097EB0F6" w14:textId="77777777" w:rsidR="005823BA" w:rsidRDefault="005823BA" w:rsidP="00E37997">
      <w:pPr>
        <w:jc w:val="both"/>
        <w:rPr>
          <w:rFonts w:ascii="Arial" w:hAnsi="Arial" w:cs="Arial"/>
          <w:sz w:val="22"/>
          <w:szCs w:val="22"/>
        </w:rPr>
      </w:pPr>
    </w:p>
    <w:p w14:paraId="5C57960C" w14:textId="77777777" w:rsidR="00A626F5" w:rsidRPr="00E37997" w:rsidRDefault="00A626F5" w:rsidP="00E379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242B8B" w14:textId="77777777" w:rsidR="00A626F5" w:rsidRDefault="00A626F5" w:rsidP="00E379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A73D87" w14:textId="77777777" w:rsidR="005823BA" w:rsidRDefault="005823BA" w:rsidP="00E379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7F02933" w14:textId="77777777" w:rsidR="005823BA" w:rsidRDefault="005823BA" w:rsidP="00E379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697C77" w14:textId="77777777" w:rsidR="005823BA" w:rsidRPr="00E37997" w:rsidRDefault="005823BA" w:rsidP="00E379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D8D3A6" w14:textId="77777777" w:rsidR="00A626F5" w:rsidRPr="00E37997" w:rsidRDefault="00A626F5" w:rsidP="00B44C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7997">
        <w:rPr>
          <w:rFonts w:ascii="Arial" w:hAnsi="Arial" w:cs="Arial"/>
          <w:b/>
          <w:bCs/>
          <w:sz w:val="22"/>
          <w:szCs w:val="22"/>
        </w:rPr>
        <w:tab/>
      </w:r>
    </w:p>
    <w:sectPr w:rsidR="00A626F5" w:rsidRPr="00E37997" w:rsidSect="00E37997">
      <w:headerReference w:type="default" r:id="rId9"/>
      <w:footerReference w:type="even" r:id="rId10"/>
      <w:footerReference w:type="default" r:id="rId11"/>
      <w:pgSz w:w="11906" w:h="16838" w:code="9"/>
      <w:pgMar w:top="1701" w:right="1418" w:bottom="1418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F7EA" w14:textId="77777777" w:rsidR="00095DCB" w:rsidRDefault="00095DCB">
      <w:r>
        <w:separator/>
      </w:r>
    </w:p>
  </w:endnote>
  <w:endnote w:type="continuationSeparator" w:id="0">
    <w:p w14:paraId="7141F6C4" w14:textId="77777777" w:rsidR="00095DCB" w:rsidRDefault="0009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4304" w14:textId="77777777" w:rsidR="00744FE3" w:rsidRDefault="0074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8D096" w14:textId="77777777" w:rsidR="00744FE3" w:rsidRDefault="00744F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4122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E47F95" w14:textId="77777777" w:rsidR="00744FE3" w:rsidRDefault="00744FE3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80E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80E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2FF181A" w14:textId="77777777" w:rsidR="00744FE3" w:rsidRDefault="00744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54FB" w14:textId="77777777" w:rsidR="00095DCB" w:rsidRDefault="00095DCB">
      <w:r>
        <w:separator/>
      </w:r>
    </w:p>
  </w:footnote>
  <w:footnote w:type="continuationSeparator" w:id="0">
    <w:p w14:paraId="24824C5C" w14:textId="77777777" w:rsidR="00095DCB" w:rsidRDefault="0009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5866" w14:textId="77777777" w:rsidR="00744FE3" w:rsidRPr="00F65286" w:rsidRDefault="00744FE3" w:rsidP="00F65286">
    <w:pPr>
      <w:pStyle w:val="Header"/>
      <w:jc w:val="center"/>
      <w:rPr>
        <w:b/>
        <w:sz w:val="28"/>
        <w:szCs w:val="28"/>
        <w:lang w:val="es-PE"/>
      </w:rPr>
    </w:pPr>
    <w:r w:rsidRPr="00F65286">
      <w:rPr>
        <w:b/>
        <w:sz w:val="28"/>
        <w:szCs w:val="28"/>
        <w:lang w:val="es-PE"/>
      </w:rPr>
      <w:t>ENTIDAD PARTICIPANTE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7FBF"/>
    <w:multiLevelType w:val="hybridMultilevel"/>
    <w:tmpl w:val="8C0663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44EE"/>
    <w:multiLevelType w:val="hybridMultilevel"/>
    <w:tmpl w:val="BB32FBC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3049"/>
    <w:multiLevelType w:val="hybridMultilevel"/>
    <w:tmpl w:val="5714F4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C7D9E"/>
    <w:multiLevelType w:val="hybridMultilevel"/>
    <w:tmpl w:val="221026AA"/>
    <w:lvl w:ilvl="0" w:tplc="1D14DDEC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9D43486"/>
    <w:multiLevelType w:val="hybridMultilevel"/>
    <w:tmpl w:val="CB1EBAD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767C5"/>
    <w:multiLevelType w:val="hybridMultilevel"/>
    <w:tmpl w:val="8AB27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C1195"/>
    <w:multiLevelType w:val="hybridMultilevel"/>
    <w:tmpl w:val="617AF5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11"/>
    <w:rsid w:val="000021B1"/>
    <w:rsid w:val="00014E53"/>
    <w:rsid w:val="000277C9"/>
    <w:rsid w:val="00030ABC"/>
    <w:rsid w:val="00033541"/>
    <w:rsid w:val="000533C6"/>
    <w:rsid w:val="00055846"/>
    <w:rsid w:val="00065181"/>
    <w:rsid w:val="00070494"/>
    <w:rsid w:val="0007219B"/>
    <w:rsid w:val="00073EC6"/>
    <w:rsid w:val="00083F06"/>
    <w:rsid w:val="00091F6C"/>
    <w:rsid w:val="00093F17"/>
    <w:rsid w:val="00094A37"/>
    <w:rsid w:val="00095DCB"/>
    <w:rsid w:val="000A5678"/>
    <w:rsid w:val="000B4D6B"/>
    <w:rsid w:val="000C5EA7"/>
    <w:rsid w:val="000D09B7"/>
    <w:rsid w:val="000D557D"/>
    <w:rsid w:val="000E06B4"/>
    <w:rsid w:val="000F262D"/>
    <w:rsid w:val="000F55B2"/>
    <w:rsid w:val="000F5720"/>
    <w:rsid w:val="000F7409"/>
    <w:rsid w:val="00100056"/>
    <w:rsid w:val="00104B49"/>
    <w:rsid w:val="00106BFE"/>
    <w:rsid w:val="00122081"/>
    <w:rsid w:val="001349AA"/>
    <w:rsid w:val="00140EA2"/>
    <w:rsid w:val="001431CD"/>
    <w:rsid w:val="001504F4"/>
    <w:rsid w:val="001542A5"/>
    <w:rsid w:val="001554B9"/>
    <w:rsid w:val="00161110"/>
    <w:rsid w:val="00164BE6"/>
    <w:rsid w:val="001767DC"/>
    <w:rsid w:val="00187D2B"/>
    <w:rsid w:val="00187DAE"/>
    <w:rsid w:val="001A2D59"/>
    <w:rsid w:val="001A7A43"/>
    <w:rsid w:val="001B2502"/>
    <w:rsid w:val="001B543B"/>
    <w:rsid w:val="001D4C86"/>
    <w:rsid w:val="001E12A0"/>
    <w:rsid w:val="001F3644"/>
    <w:rsid w:val="001F48ED"/>
    <w:rsid w:val="002022BF"/>
    <w:rsid w:val="00211F32"/>
    <w:rsid w:val="00223218"/>
    <w:rsid w:val="00223238"/>
    <w:rsid w:val="0022538E"/>
    <w:rsid w:val="00225A1B"/>
    <w:rsid w:val="00251859"/>
    <w:rsid w:val="00251FDB"/>
    <w:rsid w:val="00253F9B"/>
    <w:rsid w:val="00256737"/>
    <w:rsid w:val="0027354E"/>
    <w:rsid w:val="00273B9C"/>
    <w:rsid w:val="00277B70"/>
    <w:rsid w:val="00285B5B"/>
    <w:rsid w:val="002A5B93"/>
    <w:rsid w:val="002B065C"/>
    <w:rsid w:val="002C0E13"/>
    <w:rsid w:val="002C7A48"/>
    <w:rsid w:val="002D0E47"/>
    <w:rsid w:val="002D6A01"/>
    <w:rsid w:val="002E04E5"/>
    <w:rsid w:val="002E2588"/>
    <w:rsid w:val="002F140D"/>
    <w:rsid w:val="002F2304"/>
    <w:rsid w:val="002F4618"/>
    <w:rsid w:val="003128FF"/>
    <w:rsid w:val="00315C1C"/>
    <w:rsid w:val="0032059D"/>
    <w:rsid w:val="0032186C"/>
    <w:rsid w:val="003539C8"/>
    <w:rsid w:val="00353D96"/>
    <w:rsid w:val="00380E27"/>
    <w:rsid w:val="0038273C"/>
    <w:rsid w:val="00394F6F"/>
    <w:rsid w:val="003975D4"/>
    <w:rsid w:val="003A7376"/>
    <w:rsid w:val="003B1DA6"/>
    <w:rsid w:val="003C75EC"/>
    <w:rsid w:val="003C7853"/>
    <w:rsid w:val="003E1D5A"/>
    <w:rsid w:val="003E3FC4"/>
    <w:rsid w:val="003E7D58"/>
    <w:rsid w:val="003E7E69"/>
    <w:rsid w:val="003F3145"/>
    <w:rsid w:val="003F7878"/>
    <w:rsid w:val="00400B0B"/>
    <w:rsid w:val="0040205F"/>
    <w:rsid w:val="00404021"/>
    <w:rsid w:val="0040598A"/>
    <w:rsid w:val="0041151B"/>
    <w:rsid w:val="004207FA"/>
    <w:rsid w:val="00420AC4"/>
    <w:rsid w:val="00437C40"/>
    <w:rsid w:val="00444E98"/>
    <w:rsid w:val="00452972"/>
    <w:rsid w:val="00462502"/>
    <w:rsid w:val="004A466E"/>
    <w:rsid w:val="004B6898"/>
    <w:rsid w:val="004C04BB"/>
    <w:rsid w:val="004C5AF9"/>
    <w:rsid w:val="004C7209"/>
    <w:rsid w:val="004D101F"/>
    <w:rsid w:val="004D57E0"/>
    <w:rsid w:val="004D63BA"/>
    <w:rsid w:val="004D66A5"/>
    <w:rsid w:val="004D7862"/>
    <w:rsid w:val="004E2A54"/>
    <w:rsid w:val="004E485E"/>
    <w:rsid w:val="004F21F2"/>
    <w:rsid w:val="004F3DEC"/>
    <w:rsid w:val="004F553D"/>
    <w:rsid w:val="00514246"/>
    <w:rsid w:val="00514F4E"/>
    <w:rsid w:val="00532628"/>
    <w:rsid w:val="00535A43"/>
    <w:rsid w:val="005418B6"/>
    <w:rsid w:val="00542F73"/>
    <w:rsid w:val="00547FCB"/>
    <w:rsid w:val="00550219"/>
    <w:rsid w:val="00564628"/>
    <w:rsid w:val="00572A67"/>
    <w:rsid w:val="00576D6B"/>
    <w:rsid w:val="005823BA"/>
    <w:rsid w:val="005936C7"/>
    <w:rsid w:val="0059383A"/>
    <w:rsid w:val="00593EF7"/>
    <w:rsid w:val="0059533D"/>
    <w:rsid w:val="005960F9"/>
    <w:rsid w:val="005A0F47"/>
    <w:rsid w:val="005A3505"/>
    <w:rsid w:val="005A3C59"/>
    <w:rsid w:val="005A4449"/>
    <w:rsid w:val="005A5715"/>
    <w:rsid w:val="005A68ED"/>
    <w:rsid w:val="005D425D"/>
    <w:rsid w:val="005E4570"/>
    <w:rsid w:val="005E7AAE"/>
    <w:rsid w:val="0061292A"/>
    <w:rsid w:val="006211C8"/>
    <w:rsid w:val="00625DB4"/>
    <w:rsid w:val="00630218"/>
    <w:rsid w:val="006319DC"/>
    <w:rsid w:val="006337CC"/>
    <w:rsid w:val="006357EB"/>
    <w:rsid w:val="00654F1F"/>
    <w:rsid w:val="00661B21"/>
    <w:rsid w:val="00676504"/>
    <w:rsid w:val="006770FD"/>
    <w:rsid w:val="006A06C3"/>
    <w:rsid w:val="006A65BB"/>
    <w:rsid w:val="006C075B"/>
    <w:rsid w:val="006C293C"/>
    <w:rsid w:val="006C2E67"/>
    <w:rsid w:val="006D49EC"/>
    <w:rsid w:val="006D6179"/>
    <w:rsid w:val="006D6E21"/>
    <w:rsid w:val="006E2522"/>
    <w:rsid w:val="006F22D3"/>
    <w:rsid w:val="006F248B"/>
    <w:rsid w:val="006F2A74"/>
    <w:rsid w:val="006F3232"/>
    <w:rsid w:val="006F62A2"/>
    <w:rsid w:val="007010E0"/>
    <w:rsid w:val="00701D9C"/>
    <w:rsid w:val="0070282E"/>
    <w:rsid w:val="007055FB"/>
    <w:rsid w:val="00706D2A"/>
    <w:rsid w:val="00707F95"/>
    <w:rsid w:val="00714684"/>
    <w:rsid w:val="00715F39"/>
    <w:rsid w:val="0072547F"/>
    <w:rsid w:val="007306DB"/>
    <w:rsid w:val="00734DC3"/>
    <w:rsid w:val="00736244"/>
    <w:rsid w:val="00736A2F"/>
    <w:rsid w:val="007417C8"/>
    <w:rsid w:val="00744FE3"/>
    <w:rsid w:val="00747D88"/>
    <w:rsid w:val="00763774"/>
    <w:rsid w:val="00766360"/>
    <w:rsid w:val="007A3980"/>
    <w:rsid w:val="007B01CA"/>
    <w:rsid w:val="007B2944"/>
    <w:rsid w:val="007B4F4D"/>
    <w:rsid w:val="007B5C8D"/>
    <w:rsid w:val="007C1A3A"/>
    <w:rsid w:val="007C2079"/>
    <w:rsid w:val="007D091B"/>
    <w:rsid w:val="00803707"/>
    <w:rsid w:val="0081025D"/>
    <w:rsid w:val="00817B40"/>
    <w:rsid w:val="0082759B"/>
    <w:rsid w:val="0084308E"/>
    <w:rsid w:val="00843C2E"/>
    <w:rsid w:val="00851439"/>
    <w:rsid w:val="00852A85"/>
    <w:rsid w:val="0085648D"/>
    <w:rsid w:val="008733D8"/>
    <w:rsid w:val="00873704"/>
    <w:rsid w:val="00883382"/>
    <w:rsid w:val="008864EF"/>
    <w:rsid w:val="00886A24"/>
    <w:rsid w:val="008A42D5"/>
    <w:rsid w:val="008C59FC"/>
    <w:rsid w:val="008D08AB"/>
    <w:rsid w:val="008D11B3"/>
    <w:rsid w:val="008D311E"/>
    <w:rsid w:val="008D674A"/>
    <w:rsid w:val="008E5928"/>
    <w:rsid w:val="008F161C"/>
    <w:rsid w:val="008F43C4"/>
    <w:rsid w:val="008F5544"/>
    <w:rsid w:val="00917EEB"/>
    <w:rsid w:val="009244A9"/>
    <w:rsid w:val="00926103"/>
    <w:rsid w:val="00941116"/>
    <w:rsid w:val="009523ED"/>
    <w:rsid w:val="00952787"/>
    <w:rsid w:val="00965E49"/>
    <w:rsid w:val="00971C3A"/>
    <w:rsid w:val="00972DAA"/>
    <w:rsid w:val="00974ABE"/>
    <w:rsid w:val="00981A45"/>
    <w:rsid w:val="00987B7E"/>
    <w:rsid w:val="009A6F9B"/>
    <w:rsid w:val="009D2891"/>
    <w:rsid w:val="009D71E0"/>
    <w:rsid w:val="009D7A5B"/>
    <w:rsid w:val="009D7A83"/>
    <w:rsid w:val="009E04B1"/>
    <w:rsid w:val="009E1450"/>
    <w:rsid w:val="009E6A14"/>
    <w:rsid w:val="009F3610"/>
    <w:rsid w:val="00A056B3"/>
    <w:rsid w:val="00A0666F"/>
    <w:rsid w:val="00A120C0"/>
    <w:rsid w:val="00A15C42"/>
    <w:rsid w:val="00A1707A"/>
    <w:rsid w:val="00A20335"/>
    <w:rsid w:val="00A23CC3"/>
    <w:rsid w:val="00A45FF6"/>
    <w:rsid w:val="00A57D11"/>
    <w:rsid w:val="00A626F5"/>
    <w:rsid w:val="00A71017"/>
    <w:rsid w:val="00A71978"/>
    <w:rsid w:val="00A72221"/>
    <w:rsid w:val="00A77700"/>
    <w:rsid w:val="00A817B9"/>
    <w:rsid w:val="00A91728"/>
    <w:rsid w:val="00A93E6E"/>
    <w:rsid w:val="00A978DA"/>
    <w:rsid w:val="00AA27BB"/>
    <w:rsid w:val="00AA4074"/>
    <w:rsid w:val="00AB5258"/>
    <w:rsid w:val="00AC134F"/>
    <w:rsid w:val="00AE3234"/>
    <w:rsid w:val="00AE51E1"/>
    <w:rsid w:val="00AF164E"/>
    <w:rsid w:val="00AF59C7"/>
    <w:rsid w:val="00AF5D2E"/>
    <w:rsid w:val="00B00006"/>
    <w:rsid w:val="00B006F6"/>
    <w:rsid w:val="00B01B47"/>
    <w:rsid w:val="00B026BE"/>
    <w:rsid w:val="00B16C91"/>
    <w:rsid w:val="00B21001"/>
    <w:rsid w:val="00B22F1D"/>
    <w:rsid w:val="00B262C9"/>
    <w:rsid w:val="00B30AD5"/>
    <w:rsid w:val="00B32EDE"/>
    <w:rsid w:val="00B44CB9"/>
    <w:rsid w:val="00B63FB8"/>
    <w:rsid w:val="00B67154"/>
    <w:rsid w:val="00BA02EB"/>
    <w:rsid w:val="00BB46EF"/>
    <w:rsid w:val="00BB6CA7"/>
    <w:rsid w:val="00BC2AAB"/>
    <w:rsid w:val="00BC650E"/>
    <w:rsid w:val="00BD4E8A"/>
    <w:rsid w:val="00BF3A79"/>
    <w:rsid w:val="00C04E27"/>
    <w:rsid w:val="00C101BB"/>
    <w:rsid w:val="00C16625"/>
    <w:rsid w:val="00C34E87"/>
    <w:rsid w:val="00C3784C"/>
    <w:rsid w:val="00C40A24"/>
    <w:rsid w:val="00C45B21"/>
    <w:rsid w:val="00C4681F"/>
    <w:rsid w:val="00C5577C"/>
    <w:rsid w:val="00C61111"/>
    <w:rsid w:val="00C7593D"/>
    <w:rsid w:val="00C8375A"/>
    <w:rsid w:val="00C86CA5"/>
    <w:rsid w:val="00C90AAF"/>
    <w:rsid w:val="00C93DA2"/>
    <w:rsid w:val="00C9451A"/>
    <w:rsid w:val="00CA1205"/>
    <w:rsid w:val="00CB0214"/>
    <w:rsid w:val="00CC1307"/>
    <w:rsid w:val="00CC42B0"/>
    <w:rsid w:val="00CC7989"/>
    <w:rsid w:val="00CE527F"/>
    <w:rsid w:val="00CF27EB"/>
    <w:rsid w:val="00D01DCB"/>
    <w:rsid w:val="00D06235"/>
    <w:rsid w:val="00D23BF2"/>
    <w:rsid w:val="00D37FA0"/>
    <w:rsid w:val="00D42AA5"/>
    <w:rsid w:val="00D42DE8"/>
    <w:rsid w:val="00D55881"/>
    <w:rsid w:val="00D764CD"/>
    <w:rsid w:val="00D96E64"/>
    <w:rsid w:val="00DB0C79"/>
    <w:rsid w:val="00DD6114"/>
    <w:rsid w:val="00DD7CDC"/>
    <w:rsid w:val="00DF3768"/>
    <w:rsid w:val="00DF5B17"/>
    <w:rsid w:val="00E0144B"/>
    <w:rsid w:val="00E15B7E"/>
    <w:rsid w:val="00E16A90"/>
    <w:rsid w:val="00E254E4"/>
    <w:rsid w:val="00E33AB7"/>
    <w:rsid w:val="00E352BC"/>
    <w:rsid w:val="00E37997"/>
    <w:rsid w:val="00E46E30"/>
    <w:rsid w:val="00E91BA1"/>
    <w:rsid w:val="00EA6ED6"/>
    <w:rsid w:val="00ED0C87"/>
    <w:rsid w:val="00ED384F"/>
    <w:rsid w:val="00EE1E6D"/>
    <w:rsid w:val="00EE307A"/>
    <w:rsid w:val="00EE4429"/>
    <w:rsid w:val="00EF5C1E"/>
    <w:rsid w:val="00F004DA"/>
    <w:rsid w:val="00F12B6B"/>
    <w:rsid w:val="00F155BA"/>
    <w:rsid w:val="00F15E4F"/>
    <w:rsid w:val="00F63912"/>
    <w:rsid w:val="00F64417"/>
    <w:rsid w:val="00F64A73"/>
    <w:rsid w:val="00F65286"/>
    <w:rsid w:val="00F7008A"/>
    <w:rsid w:val="00F71D0A"/>
    <w:rsid w:val="00FB0327"/>
    <w:rsid w:val="00FB1E37"/>
    <w:rsid w:val="00FB268C"/>
    <w:rsid w:val="00FB4CC2"/>
    <w:rsid w:val="00FB5B5E"/>
    <w:rsid w:val="00FE2FFE"/>
    <w:rsid w:val="00FF3FBB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BA488"/>
  <w15:docId w15:val="{A9D0A3C1-0544-4A08-AF6F-CA2D15D5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BodyText">
    <w:name w:val="Body Text"/>
    <w:basedOn w:val="Normal"/>
    <w:semiHidden/>
    <w:rPr>
      <w:rFonts w:ascii="Arial" w:hAnsi="Arial"/>
      <w:sz w:val="22"/>
      <w:szCs w:val="20"/>
      <w:lang w:val="es-PE"/>
    </w:rPr>
  </w:style>
  <w:style w:type="paragraph" w:styleId="BodyText3">
    <w:name w:val="Body Text 3"/>
    <w:basedOn w:val="Normal"/>
    <w:semiHidden/>
    <w:pPr>
      <w:spacing w:line="480" w:lineRule="auto"/>
      <w:jc w:val="both"/>
    </w:pPr>
    <w:rPr>
      <w:rFonts w:ascii="Comic Sans MS" w:hAnsi="Comic Sans MS"/>
      <w:sz w:val="22"/>
      <w:szCs w:val="20"/>
    </w:rPr>
  </w:style>
  <w:style w:type="paragraph" w:styleId="FootnoteText">
    <w:name w:val="footnote text"/>
    <w:basedOn w:val="Normal"/>
    <w:semiHidden/>
    <w:rPr>
      <w:rFonts w:ascii="Arial" w:hAnsi="Arial" w:cs="Arial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  <w:rPr>
      <w:rFonts w:ascii="Arial" w:hAnsi="Arial" w:cs="Arial"/>
      <w:sz w:val="22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1431CD"/>
    <w:rPr>
      <w:rFonts w:ascii="Arial" w:hAnsi="Arial" w:cs="Arial"/>
      <w:sz w:val="22"/>
      <w:szCs w:val="24"/>
      <w:lang w:val="es-ES" w:eastAsia="es-ES"/>
    </w:rPr>
  </w:style>
  <w:style w:type="table" w:styleId="TableGrid">
    <w:name w:val="Table Grid"/>
    <w:basedOn w:val="TableNormal"/>
    <w:uiPriority w:val="59"/>
    <w:rsid w:val="00104B49"/>
    <w:rPr>
      <w:lang w:val="en-US" w:eastAsia="zh-CN"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2100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A85"/>
    <w:rPr>
      <w:rFonts w:ascii="Segoe UI" w:hAnsi="Segoe UI" w:cs="Segoe UI"/>
      <w:sz w:val="18"/>
      <w:szCs w:val="18"/>
      <w:lang w:val="es-ES" w:eastAsia="es-ES"/>
    </w:rPr>
  </w:style>
  <w:style w:type="character" w:customStyle="1" w:styleId="HeaderChar">
    <w:name w:val="Header Char"/>
    <w:basedOn w:val="DefaultParagraphFont"/>
    <w:link w:val="Header"/>
    <w:rsid w:val="004D63BA"/>
    <w:rPr>
      <w:rFonts w:ascii="Arial" w:hAnsi="Arial" w:cs="Arial"/>
      <w:sz w:val="22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D6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3BA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3BA"/>
    <w:rPr>
      <w:b/>
      <w:bCs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444E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7700"/>
    <w:rPr>
      <w:rFonts w:eastAsiaTheme="minorHAnsi"/>
      <w:lang w:val="es-PE" w:eastAsia="es-PE"/>
    </w:rPr>
  </w:style>
  <w:style w:type="character" w:styleId="Emphasis">
    <w:name w:val="Emphasis"/>
    <w:basedOn w:val="DefaultParagraphFont"/>
    <w:uiPriority w:val="20"/>
    <w:qFormat/>
    <w:rsid w:val="00A77700"/>
    <w:rPr>
      <w:i/>
      <w:iCs/>
    </w:rPr>
  </w:style>
  <w:style w:type="character" w:customStyle="1" w:styleId="apple-converted-space">
    <w:name w:val="apple-converted-space"/>
    <w:basedOn w:val="DefaultParagraphFont"/>
    <w:rsid w:val="00AF164E"/>
  </w:style>
  <w:style w:type="paragraph" w:styleId="Revision">
    <w:name w:val="Revision"/>
    <w:hidden/>
    <w:uiPriority w:val="99"/>
    <w:semiHidden/>
    <w:rsid w:val="00661B2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o.RegistroLiqConOpeInt@bcrp.gob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B455-8793-4BAA-97A6-DF240620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N°</vt:lpstr>
      <vt:lpstr>Contrato N°</vt:lpstr>
    </vt:vector>
  </TitlesOfParts>
  <Company>Banco Central de Reserva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N°</dc:title>
  <dc:creator>BCRP</dc:creator>
  <cp:lastModifiedBy>gloriam gutierrez guerra</cp:lastModifiedBy>
  <cp:revision>3</cp:revision>
  <cp:lastPrinted>2014-08-14T20:01:00Z</cp:lastPrinted>
  <dcterms:created xsi:type="dcterms:W3CDTF">2021-05-24T21:43:00Z</dcterms:created>
  <dcterms:modified xsi:type="dcterms:W3CDTF">2021-05-24T21:43:00Z</dcterms:modified>
</cp:coreProperties>
</file>