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AB" w:rsidRPr="00A27152" w:rsidRDefault="00403713" w:rsidP="00096FAB">
      <w:pPr>
        <w:pStyle w:val="Textoindependiente"/>
        <w:tabs>
          <w:tab w:val="clear" w:pos="0"/>
          <w:tab w:val="clear" w:pos="566"/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CONTRATO DE </w:t>
      </w:r>
      <w:r w:rsidR="00DC4E34">
        <w:rPr>
          <w:rFonts w:ascii="Arial" w:hAnsi="Arial" w:cs="Arial"/>
          <w:b/>
          <w:sz w:val="22"/>
          <w:szCs w:val="22"/>
        </w:rPr>
        <w:t>S</w:t>
      </w:r>
      <w:r w:rsidR="00096FAB" w:rsidRPr="00A27152">
        <w:rPr>
          <w:rFonts w:ascii="Arial" w:hAnsi="Arial" w:cs="Arial"/>
          <w:b/>
          <w:sz w:val="22"/>
          <w:szCs w:val="22"/>
        </w:rPr>
        <w:t xml:space="preserve">USTITUCIÓN DE </w:t>
      </w:r>
      <w:r w:rsidR="00D04D60" w:rsidRPr="00A27152">
        <w:rPr>
          <w:rFonts w:ascii="Arial" w:hAnsi="Arial" w:cs="Arial"/>
          <w:b/>
          <w:sz w:val="22"/>
          <w:szCs w:val="22"/>
        </w:rPr>
        <w:t>CARTERA</w:t>
      </w:r>
    </w:p>
    <w:p w:rsidR="00096FAB" w:rsidRPr="00A27152" w:rsidRDefault="00D04D60" w:rsidP="00096FAB">
      <w:pPr>
        <w:pStyle w:val="Textoindependiente"/>
        <w:tabs>
          <w:tab w:val="clear" w:pos="0"/>
          <w:tab w:val="clear" w:pos="566"/>
          <w:tab w:val="left" w:pos="567"/>
        </w:tabs>
        <w:rPr>
          <w:rFonts w:ascii="Arial" w:hAnsi="Arial" w:cs="Arial"/>
          <w:b/>
          <w:caps/>
          <w:sz w:val="22"/>
          <w:szCs w:val="22"/>
        </w:rPr>
      </w:pPr>
      <w:r w:rsidRPr="00A27152">
        <w:rPr>
          <w:rFonts w:ascii="Arial" w:hAnsi="Arial" w:cs="Arial"/>
          <w:b/>
          <w:caps/>
          <w:sz w:val="22"/>
          <w:szCs w:val="22"/>
        </w:rPr>
        <w:t>Operaciones de Reporte de Cartera de Créditos Representada en Títulos Valores</w:t>
      </w:r>
    </w:p>
    <w:p w:rsidR="00D04D60" w:rsidRPr="00A27152" w:rsidRDefault="00D04D60" w:rsidP="00096FAB">
      <w:pPr>
        <w:pStyle w:val="Textoindependiente"/>
        <w:tabs>
          <w:tab w:val="clear" w:pos="0"/>
          <w:tab w:val="clear" w:pos="566"/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DC4E34" w:rsidRDefault="00DC4E34" w:rsidP="00DC4E34">
      <w:pPr>
        <w:pStyle w:val="Textoindependiente"/>
        <w:tabs>
          <w:tab w:val="clear" w:pos="0"/>
          <w:tab w:val="clear" w:pos="566"/>
          <w:tab w:val="left" w:pos="567"/>
        </w:tabs>
        <w:jc w:val="left"/>
        <w:rPr>
          <w:rFonts w:ascii="Arial" w:hAnsi="Arial" w:cs="Arial"/>
          <w:sz w:val="22"/>
          <w:szCs w:val="22"/>
        </w:rPr>
      </w:pPr>
    </w:p>
    <w:p w:rsidR="00DC4E34" w:rsidRPr="003C3C21" w:rsidRDefault="00096FAB" w:rsidP="00DC4E34">
      <w:pPr>
        <w:pStyle w:val="Textoindependiente"/>
        <w:tabs>
          <w:tab w:val="clear" w:pos="0"/>
          <w:tab w:val="clear" w:pos="566"/>
          <w:tab w:val="left" w:pos="567"/>
        </w:tabs>
        <w:jc w:val="left"/>
        <w:rPr>
          <w:rFonts w:ascii="Arial" w:hAnsi="Arial" w:cs="Arial"/>
          <w:sz w:val="22"/>
          <w:szCs w:val="22"/>
        </w:rPr>
      </w:pPr>
      <w:r w:rsidRPr="003C3C21">
        <w:rPr>
          <w:rFonts w:ascii="Arial" w:hAnsi="Arial" w:cs="Arial"/>
          <w:sz w:val="22"/>
          <w:szCs w:val="22"/>
        </w:rPr>
        <w:t>Lima,</w:t>
      </w:r>
      <w:r w:rsidR="001D1C7D" w:rsidRPr="003C3C21">
        <w:rPr>
          <w:rFonts w:ascii="Arial" w:hAnsi="Arial" w:cs="Arial"/>
          <w:sz w:val="22"/>
          <w:szCs w:val="22"/>
        </w:rPr>
        <w:t xml:space="preserve"> </w:t>
      </w:r>
      <w:r w:rsidR="00403713" w:rsidRPr="003C3C21">
        <w:rPr>
          <w:rFonts w:ascii="Arial" w:hAnsi="Arial" w:cs="Arial"/>
          <w:sz w:val="22"/>
          <w:szCs w:val="22"/>
        </w:rPr>
        <w:t>[dd-mm-aaaa</w:t>
      </w:r>
      <w:r w:rsidR="00D04D60" w:rsidRPr="003C3C21">
        <w:rPr>
          <w:rFonts w:ascii="Arial" w:hAnsi="Arial" w:cs="Arial"/>
          <w:sz w:val="22"/>
          <w:szCs w:val="22"/>
        </w:rPr>
        <w:t>]</w:t>
      </w:r>
      <w:r w:rsidR="00403713" w:rsidRPr="003C3C21">
        <w:rPr>
          <w:rFonts w:ascii="Arial" w:hAnsi="Arial" w:cs="Arial"/>
          <w:sz w:val="22"/>
          <w:szCs w:val="22"/>
        </w:rPr>
        <w:t xml:space="preserve"> </w:t>
      </w:r>
      <w:r w:rsidR="00DC4E34" w:rsidRPr="003C3C21">
        <w:rPr>
          <w:rFonts w:ascii="Arial" w:hAnsi="Arial" w:cs="Arial"/>
          <w:sz w:val="22"/>
          <w:szCs w:val="22"/>
        </w:rPr>
        <w:t xml:space="preserve">                                                            CLAVE DE FACSIMIL N°____</w:t>
      </w:r>
    </w:p>
    <w:p w:rsidR="00096FAB" w:rsidRPr="003C3C21" w:rsidRDefault="00096FAB" w:rsidP="00096FA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:rsidR="00096FAB" w:rsidRPr="003C3C21" w:rsidRDefault="00096FAB" w:rsidP="00096FA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:rsidR="002C7182" w:rsidRDefault="007757D1" w:rsidP="007757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3C21">
        <w:rPr>
          <w:rFonts w:ascii="Arial" w:hAnsi="Arial" w:cs="Arial"/>
          <w:color w:val="000000" w:themeColor="text1"/>
          <w:sz w:val="22"/>
          <w:szCs w:val="22"/>
        </w:rPr>
        <w:t xml:space="preserve">El presente documento complementa el Contrato Específico por el Banco Central de Reserva del Perú (BCRP) y </w:t>
      </w:r>
      <w:r w:rsidR="00D04D60" w:rsidRPr="003C3C21">
        <w:rPr>
          <w:rFonts w:ascii="Arial" w:hAnsi="Arial" w:cs="Arial"/>
          <w:color w:val="000000" w:themeColor="text1"/>
          <w:sz w:val="22"/>
          <w:szCs w:val="22"/>
        </w:rPr>
        <w:t>[Nombre de la Entidad Participante]</w:t>
      </w:r>
      <w:r w:rsidR="009D3B7B" w:rsidRPr="003C3C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3C21">
        <w:rPr>
          <w:rFonts w:ascii="Arial" w:hAnsi="Arial" w:cs="Arial"/>
          <w:color w:val="000000" w:themeColor="text1"/>
          <w:sz w:val="22"/>
          <w:szCs w:val="22"/>
        </w:rPr>
        <w:t xml:space="preserve">(EP). El referido Contrato Específico, conjuntamente con el Contrato Marco </w:t>
      </w:r>
      <w:r w:rsidR="00DC4E34" w:rsidRPr="003C3C21">
        <w:rPr>
          <w:rFonts w:ascii="Arial" w:hAnsi="Arial" w:cs="Arial"/>
          <w:color w:val="000000" w:themeColor="text1"/>
          <w:sz w:val="22"/>
          <w:szCs w:val="22"/>
        </w:rPr>
        <w:t>suscrito por ambas Partes</w:t>
      </w:r>
      <w:r w:rsidR="00553E4D" w:rsidRPr="003C3C21">
        <w:rPr>
          <w:rFonts w:ascii="Arial" w:hAnsi="Arial" w:cs="Arial"/>
          <w:color w:val="000000" w:themeColor="text1"/>
          <w:sz w:val="22"/>
          <w:szCs w:val="22"/>
        </w:rPr>
        <w:t>,</w:t>
      </w:r>
      <w:r w:rsidRPr="003C3C21">
        <w:rPr>
          <w:rFonts w:ascii="Arial" w:hAnsi="Arial" w:cs="Arial"/>
          <w:color w:val="FF0000"/>
          <w:sz w:val="22"/>
          <w:szCs w:val="22"/>
        </w:rPr>
        <w:t xml:space="preserve"> </w:t>
      </w:r>
      <w:r w:rsidRPr="003C3C21">
        <w:rPr>
          <w:rFonts w:ascii="Arial" w:hAnsi="Arial" w:cs="Arial"/>
          <w:color w:val="000000" w:themeColor="text1"/>
          <w:sz w:val="22"/>
          <w:szCs w:val="22"/>
        </w:rPr>
        <w:t xml:space="preserve">constituye un Contrato de Operación de Reporte de </w:t>
      </w:r>
      <w:r w:rsidR="002C7182" w:rsidRPr="00A27152">
        <w:rPr>
          <w:rFonts w:ascii="Arial" w:hAnsi="Arial" w:cs="Arial"/>
          <w:color w:val="000000" w:themeColor="text1"/>
          <w:sz w:val="22"/>
          <w:szCs w:val="22"/>
        </w:rPr>
        <w:t>Cartera de Créditos Representada en Títulos Valores</w:t>
      </w:r>
      <w:r w:rsidR="002C7182" w:rsidRPr="003C3C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3C21">
        <w:rPr>
          <w:rFonts w:ascii="Arial" w:hAnsi="Arial" w:cs="Arial"/>
          <w:color w:val="000000" w:themeColor="text1"/>
          <w:sz w:val="22"/>
          <w:szCs w:val="22"/>
        </w:rPr>
        <w:t xml:space="preserve"> gobernado por la </w:t>
      </w:r>
      <w:r w:rsidR="00A27152" w:rsidRPr="003C3C21">
        <w:rPr>
          <w:rFonts w:ascii="Arial" w:hAnsi="Arial" w:cs="Arial"/>
          <w:color w:val="000000" w:themeColor="text1"/>
          <w:sz w:val="22"/>
          <w:szCs w:val="22"/>
        </w:rPr>
        <w:t>Ley</w:t>
      </w:r>
      <w:r w:rsidR="00A27152" w:rsidRPr="00A27152">
        <w:rPr>
          <w:rFonts w:ascii="Arial" w:hAnsi="Arial" w:cs="Arial"/>
          <w:color w:val="000000" w:themeColor="text1"/>
          <w:sz w:val="22"/>
          <w:szCs w:val="22"/>
        </w:rPr>
        <w:t xml:space="preserve"> de Operaciones de Reporte (</w:t>
      </w:r>
      <w:r w:rsidRPr="00A27152">
        <w:rPr>
          <w:rFonts w:ascii="Arial" w:hAnsi="Arial" w:cs="Arial"/>
          <w:color w:val="000000" w:themeColor="text1"/>
          <w:sz w:val="22"/>
          <w:szCs w:val="22"/>
        </w:rPr>
        <w:t>Ley N° 30052</w:t>
      </w:r>
      <w:r w:rsidR="00A27152" w:rsidRPr="00A27152">
        <w:rPr>
          <w:rFonts w:ascii="Arial" w:hAnsi="Arial" w:cs="Arial"/>
          <w:color w:val="000000" w:themeColor="text1"/>
          <w:sz w:val="22"/>
          <w:szCs w:val="22"/>
        </w:rPr>
        <w:t>)</w:t>
      </w:r>
      <w:r w:rsidRPr="00A27152">
        <w:rPr>
          <w:rFonts w:ascii="Arial" w:hAnsi="Arial" w:cs="Arial"/>
          <w:color w:val="000000" w:themeColor="text1"/>
          <w:sz w:val="22"/>
          <w:szCs w:val="22"/>
        </w:rPr>
        <w:t xml:space="preserve"> y por la</w:t>
      </w:r>
      <w:r w:rsidR="00D04D60" w:rsidRPr="00A27152">
        <w:rPr>
          <w:rFonts w:ascii="Arial" w:hAnsi="Arial" w:cs="Arial"/>
          <w:color w:val="000000" w:themeColor="text1"/>
          <w:sz w:val="22"/>
          <w:szCs w:val="22"/>
        </w:rPr>
        <w:t xml:space="preserve"> Circular vigente</w:t>
      </w:r>
      <w:r w:rsidR="002C7182">
        <w:rPr>
          <w:rFonts w:ascii="Arial" w:hAnsi="Arial" w:cs="Arial"/>
          <w:color w:val="000000" w:themeColor="text1"/>
          <w:sz w:val="22"/>
          <w:szCs w:val="22"/>
        </w:rPr>
        <w:t>, que corresponda.</w:t>
      </w:r>
    </w:p>
    <w:p w:rsidR="007757D1" w:rsidRPr="00A27152" w:rsidRDefault="00D04D60" w:rsidP="007757D1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71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96FAB" w:rsidRPr="00A27152" w:rsidRDefault="007757D1" w:rsidP="007757D1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7152">
        <w:rPr>
          <w:rFonts w:ascii="Arial" w:hAnsi="Arial" w:cs="Arial"/>
          <w:color w:val="000000" w:themeColor="text1"/>
          <w:sz w:val="22"/>
          <w:szCs w:val="22"/>
        </w:rPr>
        <w:t>Conforme al citado marco legal, que prevé las circunstancias en que procede la sustitución</w:t>
      </w:r>
      <w:r w:rsidR="00F85A7B">
        <w:rPr>
          <w:rFonts w:ascii="Arial" w:hAnsi="Arial" w:cs="Arial"/>
          <w:color w:val="000000" w:themeColor="text1"/>
          <w:sz w:val="22"/>
          <w:szCs w:val="22"/>
        </w:rPr>
        <w:t xml:space="preserve"> cartera de créditos representada en títulos valores</w:t>
      </w:r>
      <w:r w:rsidRPr="00A27152">
        <w:rPr>
          <w:rFonts w:ascii="Arial" w:hAnsi="Arial" w:cs="Arial"/>
          <w:color w:val="000000" w:themeColor="text1"/>
          <w:sz w:val="22"/>
          <w:szCs w:val="22"/>
        </w:rPr>
        <w:t xml:space="preserve">, las Partes acuerdan sustituir </w:t>
      </w:r>
      <w:r w:rsidR="00F85A7B">
        <w:rPr>
          <w:rFonts w:ascii="Arial" w:hAnsi="Arial" w:cs="Arial"/>
          <w:color w:val="000000" w:themeColor="text1"/>
          <w:sz w:val="22"/>
          <w:szCs w:val="22"/>
        </w:rPr>
        <w:t xml:space="preserve">cartera de la siguiente operación conforme al detalle </w:t>
      </w:r>
      <w:r w:rsidRPr="00A27152">
        <w:rPr>
          <w:rFonts w:ascii="Arial" w:hAnsi="Arial" w:cs="Arial"/>
          <w:color w:val="000000" w:themeColor="text1"/>
          <w:sz w:val="22"/>
          <w:szCs w:val="22"/>
        </w:rPr>
        <w:t>siguiente</w:t>
      </w:r>
      <w:r w:rsidR="00F85A7B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7757D1" w:rsidRPr="00A27152" w:rsidRDefault="007757D1" w:rsidP="007757D1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737"/>
      </w:tblGrid>
      <w:tr w:rsidR="00096FAB" w:rsidRPr="00A27152" w:rsidTr="000E30AB">
        <w:trPr>
          <w:trHeight w:val="474"/>
        </w:trPr>
        <w:tc>
          <w:tcPr>
            <w:tcW w:w="2977" w:type="dxa"/>
            <w:vAlign w:val="center"/>
          </w:tcPr>
          <w:p w:rsidR="00096FAB" w:rsidRPr="00A27152" w:rsidRDefault="00096FAB" w:rsidP="00F85A7B">
            <w:pPr>
              <w:rPr>
                <w:rFonts w:ascii="Arial" w:hAnsi="Arial" w:cs="Arial"/>
                <w:sz w:val="22"/>
                <w:szCs w:val="22"/>
              </w:rPr>
            </w:pPr>
            <w:r w:rsidRPr="00A27152">
              <w:rPr>
                <w:rFonts w:ascii="Arial" w:hAnsi="Arial" w:cs="Arial"/>
                <w:sz w:val="22"/>
                <w:szCs w:val="22"/>
              </w:rPr>
              <w:t>N° de Operación</w:t>
            </w:r>
          </w:p>
        </w:tc>
        <w:tc>
          <w:tcPr>
            <w:tcW w:w="5737" w:type="dxa"/>
            <w:vAlign w:val="center"/>
          </w:tcPr>
          <w:p w:rsidR="00096FAB" w:rsidRPr="00A27152" w:rsidRDefault="00DC4E34" w:rsidP="00D61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000#</w:t>
            </w:r>
          </w:p>
        </w:tc>
      </w:tr>
      <w:tr w:rsidR="00096FAB" w:rsidRPr="00A27152" w:rsidTr="000E30AB">
        <w:trPr>
          <w:trHeight w:val="474"/>
        </w:trPr>
        <w:tc>
          <w:tcPr>
            <w:tcW w:w="2977" w:type="dxa"/>
            <w:vAlign w:val="center"/>
          </w:tcPr>
          <w:p w:rsidR="00096FAB" w:rsidRPr="00A27152" w:rsidRDefault="00096FAB" w:rsidP="000E30AB">
            <w:pPr>
              <w:rPr>
                <w:rFonts w:ascii="Arial" w:hAnsi="Arial" w:cs="Arial"/>
                <w:sz w:val="22"/>
                <w:szCs w:val="22"/>
              </w:rPr>
            </w:pPr>
            <w:r w:rsidRPr="00A27152">
              <w:rPr>
                <w:rFonts w:ascii="Arial" w:hAnsi="Arial" w:cs="Arial"/>
                <w:sz w:val="22"/>
                <w:szCs w:val="22"/>
              </w:rPr>
              <w:t>Fecha de Venta</w:t>
            </w:r>
            <w:r w:rsidR="00DC4E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7" w:type="dxa"/>
            <w:vAlign w:val="center"/>
          </w:tcPr>
          <w:p w:rsidR="00096FAB" w:rsidRPr="00A27152" w:rsidRDefault="00DC4E34" w:rsidP="00DC4E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dd-mm-aaaa</w:t>
            </w:r>
          </w:p>
        </w:tc>
      </w:tr>
      <w:tr w:rsidR="00DC4E34" w:rsidRPr="00A27152" w:rsidTr="000E30AB">
        <w:trPr>
          <w:trHeight w:val="474"/>
        </w:trPr>
        <w:tc>
          <w:tcPr>
            <w:tcW w:w="2977" w:type="dxa"/>
            <w:vAlign w:val="center"/>
          </w:tcPr>
          <w:p w:rsidR="00DC4E34" w:rsidRPr="00A27152" w:rsidRDefault="00DC4E34" w:rsidP="000E30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Recompra:</w:t>
            </w:r>
          </w:p>
        </w:tc>
        <w:tc>
          <w:tcPr>
            <w:tcW w:w="5737" w:type="dxa"/>
            <w:vAlign w:val="center"/>
          </w:tcPr>
          <w:p w:rsidR="00DC4E34" w:rsidRDefault="00DC4E34" w:rsidP="00DC4E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dd-mm-aaaa</w:t>
            </w:r>
          </w:p>
        </w:tc>
      </w:tr>
    </w:tbl>
    <w:p w:rsidR="00096FAB" w:rsidRPr="00A27152" w:rsidRDefault="00096FAB" w:rsidP="00096FAB">
      <w:pPr>
        <w:pStyle w:val="a"/>
        <w:rPr>
          <w:rFonts w:ascii="Arial" w:hAnsi="Arial" w:cs="Arial"/>
          <w:sz w:val="22"/>
          <w:szCs w:val="22"/>
        </w:rPr>
      </w:pPr>
    </w:p>
    <w:p w:rsidR="00A27152" w:rsidRPr="00DC4E34" w:rsidRDefault="00F85A7B" w:rsidP="00F85A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5A7B">
        <w:rPr>
          <w:rFonts w:ascii="Arial" w:hAnsi="Arial" w:cs="Arial"/>
          <w:color w:val="000000" w:themeColor="text1"/>
          <w:sz w:val="22"/>
          <w:szCs w:val="22"/>
        </w:rPr>
        <w:t>L</w:t>
      </w:r>
      <w:r w:rsidR="00F6764D">
        <w:rPr>
          <w:rFonts w:ascii="Arial" w:hAnsi="Arial" w:cs="Arial"/>
          <w:color w:val="000000" w:themeColor="text1"/>
          <w:sz w:val="22"/>
          <w:szCs w:val="22"/>
        </w:rPr>
        <w:t xml:space="preserve">os créditos sustituidos y los nuevos créditos que sirven de colateral de la operación </w:t>
      </w:r>
      <w:r w:rsidRPr="00F85A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764D">
        <w:rPr>
          <w:rFonts w:ascii="Arial" w:hAnsi="Arial" w:cs="Arial"/>
          <w:color w:val="000000" w:themeColor="text1"/>
          <w:sz w:val="22"/>
          <w:szCs w:val="22"/>
        </w:rPr>
        <w:t>s</w:t>
      </w:r>
      <w:r w:rsidRPr="00F85A7B">
        <w:rPr>
          <w:rFonts w:ascii="Arial" w:hAnsi="Arial" w:cs="Arial"/>
          <w:color w:val="000000" w:themeColor="text1"/>
          <w:sz w:val="22"/>
          <w:szCs w:val="22"/>
        </w:rPr>
        <w:t>e detalla</w:t>
      </w:r>
      <w:r w:rsidR="00F6764D">
        <w:rPr>
          <w:rFonts w:ascii="Arial" w:hAnsi="Arial" w:cs="Arial"/>
          <w:color w:val="000000" w:themeColor="text1"/>
          <w:sz w:val="22"/>
          <w:szCs w:val="22"/>
        </w:rPr>
        <w:t>n</w:t>
      </w:r>
      <w:r w:rsidRPr="00F85A7B">
        <w:rPr>
          <w:rFonts w:ascii="Arial" w:hAnsi="Arial" w:cs="Arial"/>
          <w:color w:val="000000" w:themeColor="text1"/>
          <w:sz w:val="22"/>
          <w:szCs w:val="22"/>
        </w:rPr>
        <w:t xml:space="preserve"> en los Anexos 1</w:t>
      </w:r>
      <w:r w:rsidR="004037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F85A7B">
        <w:rPr>
          <w:rFonts w:ascii="Arial" w:hAnsi="Arial" w:cs="Arial"/>
          <w:color w:val="000000" w:themeColor="text1"/>
          <w:sz w:val="22"/>
          <w:szCs w:val="22"/>
        </w:rPr>
        <w:t xml:space="preserve"> y 2</w:t>
      </w:r>
      <w:r w:rsidR="00403713">
        <w:rPr>
          <w:rFonts w:ascii="Arial" w:hAnsi="Arial" w:cs="Arial"/>
          <w:color w:val="000000" w:themeColor="text1"/>
          <w:sz w:val="22"/>
          <w:szCs w:val="22"/>
        </w:rPr>
        <w:t>b</w:t>
      </w:r>
      <w:r w:rsidR="00F676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85A7B">
        <w:rPr>
          <w:rFonts w:ascii="Arial" w:hAnsi="Arial" w:cs="Arial"/>
          <w:color w:val="000000" w:themeColor="text1"/>
          <w:sz w:val="22"/>
          <w:szCs w:val="22"/>
        </w:rPr>
        <w:t>respectivamente en el presente contrato</w:t>
      </w:r>
      <w:r w:rsidR="00F6764D">
        <w:rPr>
          <w:rFonts w:ascii="Arial" w:hAnsi="Arial" w:cs="Arial"/>
          <w:color w:val="000000" w:themeColor="text1"/>
          <w:sz w:val="22"/>
          <w:szCs w:val="22"/>
        </w:rPr>
        <w:t xml:space="preserve"> y que fueron </w:t>
      </w:r>
      <w:r w:rsidR="00F6764D" w:rsidRPr="00DC4E34">
        <w:rPr>
          <w:rFonts w:ascii="Arial" w:hAnsi="Arial" w:cs="Arial"/>
          <w:color w:val="000000" w:themeColor="text1"/>
          <w:sz w:val="22"/>
          <w:szCs w:val="22"/>
        </w:rPr>
        <w:t>entregados por la EP</w:t>
      </w:r>
      <w:r w:rsidRPr="00DC4E34">
        <w:rPr>
          <w:rFonts w:ascii="Arial" w:hAnsi="Arial" w:cs="Arial"/>
          <w:color w:val="000000" w:themeColor="text1"/>
          <w:sz w:val="22"/>
          <w:szCs w:val="22"/>
        </w:rPr>
        <w:t>.</w:t>
      </w:r>
      <w:r w:rsidR="00403713">
        <w:rPr>
          <w:rFonts w:ascii="Arial" w:hAnsi="Arial" w:cs="Arial"/>
          <w:color w:val="000000" w:themeColor="text1"/>
          <w:sz w:val="22"/>
          <w:szCs w:val="22"/>
        </w:rPr>
        <w:t xml:space="preserve"> Asimismo, si los créditos tuviesen garantías genéricas, deben completar la información en el Anexo 2.</w:t>
      </w:r>
    </w:p>
    <w:p w:rsidR="00A27152" w:rsidRPr="00DC4E34" w:rsidRDefault="00A27152" w:rsidP="00A27152">
      <w:pPr>
        <w:rPr>
          <w:rFonts w:ascii="Arial" w:hAnsi="Arial" w:cs="Arial"/>
          <w:sz w:val="22"/>
          <w:szCs w:val="22"/>
        </w:rPr>
      </w:pPr>
    </w:p>
    <w:p w:rsidR="00DC4E34" w:rsidRPr="00403713" w:rsidRDefault="00DC4E34" w:rsidP="00DC4E3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403713">
        <w:rPr>
          <w:rFonts w:ascii="Arial" w:hAnsi="Arial" w:cs="Arial"/>
          <w:sz w:val="22"/>
          <w:szCs w:val="22"/>
          <w:lang w:val="es-ES_tradnl"/>
        </w:rPr>
        <w:t>Los Anexos están publicados en el Portal web del Banco Central y deben ser enviados por LA EP en formato Excel por correo electrónico al Departamento de Liquidación y Control de Operaciones Internas, Dpto.RegistroLiqConOpeInt@bcrp.gob.pe, o a través del SIB-FTP en los canales que se indique. Los archivos Excel que se envíen al Banco Central deberán tener la siguiente estructura:</w:t>
      </w:r>
    </w:p>
    <w:p w:rsidR="00DC4E34" w:rsidRPr="00403713" w:rsidRDefault="00DC4E34" w:rsidP="00DC4E34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DC4E34" w:rsidRPr="00403713" w:rsidRDefault="00EA5909" w:rsidP="00DC4E34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REPO-</w:t>
      </w:r>
      <w:r w:rsidR="00DC4E34" w:rsidRPr="00403713">
        <w:rPr>
          <w:rFonts w:ascii="Arial" w:hAnsi="Arial" w:cs="Arial"/>
          <w:sz w:val="22"/>
          <w:szCs w:val="22"/>
          <w:lang w:val="es-ES_tradnl"/>
        </w:rPr>
        <w:t xml:space="preserve">CARTERA-SUST-[Código de la EP]-[N° de Operación]-[N° Correlativo de Sustitución].xlsx </w:t>
      </w:r>
    </w:p>
    <w:p w:rsidR="00DC4E34" w:rsidRPr="00403713" w:rsidRDefault="00EA5909" w:rsidP="00DC4E34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REPO-</w:t>
      </w:r>
      <w:bookmarkStart w:id="0" w:name="_GoBack"/>
      <w:bookmarkEnd w:id="0"/>
      <w:r w:rsidR="00DC4E34" w:rsidRPr="00403713">
        <w:rPr>
          <w:rFonts w:ascii="Arial" w:hAnsi="Arial" w:cs="Arial"/>
          <w:sz w:val="22"/>
          <w:szCs w:val="22"/>
          <w:lang w:val="es-ES_tradnl"/>
        </w:rPr>
        <w:t>CARTERA-SUST-000#-000#-000#.xlsx</w:t>
      </w:r>
    </w:p>
    <w:p w:rsidR="00DC4E34" w:rsidRDefault="00DC4E34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p w:rsidR="003C3C21" w:rsidRDefault="003C3C21" w:rsidP="00A27152">
      <w:pPr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03713" w:rsidRPr="00403713" w:rsidTr="003C3C21">
        <w:trPr>
          <w:trHeight w:val="1247"/>
          <w:jc w:val="center"/>
        </w:trPr>
        <w:tc>
          <w:tcPr>
            <w:tcW w:w="4414" w:type="dxa"/>
          </w:tcPr>
          <w:p w:rsidR="00403713" w:rsidRPr="00403713" w:rsidRDefault="00403713" w:rsidP="00403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713">
              <w:rPr>
                <w:rFonts w:ascii="Arial" w:hAnsi="Arial" w:cs="Arial"/>
                <w:sz w:val="22"/>
                <w:szCs w:val="22"/>
              </w:rPr>
              <w:t>Banco Central de Reserva del Perú</w:t>
            </w:r>
          </w:p>
        </w:tc>
        <w:tc>
          <w:tcPr>
            <w:tcW w:w="4414" w:type="dxa"/>
          </w:tcPr>
          <w:p w:rsidR="00403713" w:rsidRPr="00403713" w:rsidRDefault="00403713" w:rsidP="00403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713">
              <w:rPr>
                <w:rFonts w:ascii="Arial" w:hAnsi="Arial" w:cs="Arial"/>
                <w:sz w:val="22"/>
                <w:szCs w:val="22"/>
              </w:rPr>
              <w:t>EP</w:t>
            </w:r>
          </w:p>
        </w:tc>
      </w:tr>
      <w:tr w:rsidR="00403713" w:rsidRPr="00403713" w:rsidTr="003C3C21">
        <w:trPr>
          <w:trHeight w:val="1247"/>
          <w:jc w:val="center"/>
        </w:trPr>
        <w:tc>
          <w:tcPr>
            <w:tcW w:w="4414" w:type="dxa"/>
          </w:tcPr>
          <w:p w:rsidR="00403713" w:rsidRPr="00403713" w:rsidRDefault="00403713" w:rsidP="00403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713">
              <w:rPr>
                <w:rFonts w:ascii="Arial" w:hAnsi="Arial" w:cs="Arial"/>
                <w:sz w:val="22"/>
                <w:szCs w:val="22"/>
              </w:rPr>
              <w:t>Banco Central de Reserva del Perú</w:t>
            </w:r>
          </w:p>
        </w:tc>
        <w:tc>
          <w:tcPr>
            <w:tcW w:w="4414" w:type="dxa"/>
          </w:tcPr>
          <w:p w:rsidR="00403713" w:rsidRPr="00403713" w:rsidRDefault="00403713" w:rsidP="004037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713">
              <w:rPr>
                <w:rFonts w:ascii="Arial" w:hAnsi="Arial" w:cs="Arial"/>
                <w:sz w:val="22"/>
                <w:szCs w:val="22"/>
              </w:rPr>
              <w:t>EP</w:t>
            </w:r>
          </w:p>
        </w:tc>
      </w:tr>
    </w:tbl>
    <w:p w:rsidR="00F85A7B" w:rsidRDefault="00F85A7B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5D3A30" w:rsidRDefault="005D3A30" w:rsidP="00A27152"/>
    <w:p w:rsidR="00F85A7B" w:rsidRDefault="00F85A7B" w:rsidP="00A27152"/>
    <w:p w:rsidR="00F85A7B" w:rsidRDefault="00F85A7B" w:rsidP="00A27152"/>
    <w:p w:rsidR="00F85A7B" w:rsidRDefault="00F85A7B" w:rsidP="00A27152"/>
    <w:p w:rsidR="00F85A7B" w:rsidRDefault="00F85A7B" w:rsidP="00A27152"/>
    <w:p w:rsidR="00F85A7B" w:rsidRPr="007E2E4F" w:rsidRDefault="00F85A7B" w:rsidP="007E2E4F"/>
    <w:sectPr w:rsidR="00F85A7B" w:rsidRPr="007E2E4F" w:rsidSect="00403713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C2" w:rsidRDefault="00DE59C2" w:rsidP="001929B8">
      <w:r>
        <w:separator/>
      </w:r>
    </w:p>
  </w:endnote>
  <w:endnote w:type="continuationSeparator" w:id="0">
    <w:p w:rsidR="00DE59C2" w:rsidRDefault="00DE59C2" w:rsidP="0019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4837721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7565440"/>
          <w:docPartObj>
            <w:docPartGallery w:val="Page Numbers (Top of Page)"/>
            <w:docPartUnique/>
          </w:docPartObj>
        </w:sdtPr>
        <w:sdtEndPr/>
        <w:sdtContent>
          <w:p w:rsidR="00F85A7B" w:rsidRPr="00F85A7B" w:rsidRDefault="00F85A7B">
            <w:pPr>
              <w:pStyle w:val="Piedepgina"/>
              <w:jc w:val="center"/>
              <w:rPr>
                <w:rFonts w:ascii="Arial" w:hAnsi="Arial" w:cs="Arial"/>
              </w:rPr>
            </w:pPr>
            <w:r w:rsidRPr="00F85A7B">
              <w:rPr>
                <w:rFonts w:ascii="Arial" w:hAnsi="Arial" w:cs="Arial"/>
              </w:rPr>
              <w:t xml:space="preserve">Página </w:t>
            </w:r>
            <w:r w:rsidRPr="00F85A7B">
              <w:rPr>
                <w:rFonts w:ascii="Arial" w:hAnsi="Arial" w:cs="Arial"/>
                <w:b/>
                <w:bCs/>
              </w:rPr>
              <w:fldChar w:fldCharType="begin"/>
            </w:r>
            <w:r w:rsidRPr="00F85A7B">
              <w:rPr>
                <w:rFonts w:ascii="Arial" w:hAnsi="Arial" w:cs="Arial"/>
                <w:b/>
                <w:bCs/>
              </w:rPr>
              <w:instrText>PAGE</w:instrText>
            </w:r>
            <w:r w:rsidRPr="00F85A7B">
              <w:rPr>
                <w:rFonts w:ascii="Arial" w:hAnsi="Arial" w:cs="Arial"/>
                <w:b/>
                <w:bCs/>
              </w:rPr>
              <w:fldChar w:fldCharType="separate"/>
            </w:r>
            <w:r w:rsidR="00EA5909">
              <w:rPr>
                <w:rFonts w:ascii="Arial" w:hAnsi="Arial" w:cs="Arial"/>
                <w:b/>
                <w:bCs/>
                <w:noProof/>
              </w:rPr>
              <w:t>2</w:t>
            </w:r>
            <w:r w:rsidRPr="00F85A7B">
              <w:rPr>
                <w:rFonts w:ascii="Arial" w:hAnsi="Arial" w:cs="Arial"/>
                <w:b/>
                <w:bCs/>
              </w:rPr>
              <w:fldChar w:fldCharType="end"/>
            </w:r>
            <w:r w:rsidRPr="00F85A7B">
              <w:rPr>
                <w:rFonts w:ascii="Arial" w:hAnsi="Arial" w:cs="Arial"/>
              </w:rPr>
              <w:t xml:space="preserve"> de </w:t>
            </w:r>
            <w:r w:rsidRPr="00F85A7B">
              <w:rPr>
                <w:rFonts w:ascii="Arial" w:hAnsi="Arial" w:cs="Arial"/>
                <w:b/>
                <w:bCs/>
              </w:rPr>
              <w:fldChar w:fldCharType="begin"/>
            </w:r>
            <w:r w:rsidRPr="00F85A7B">
              <w:rPr>
                <w:rFonts w:ascii="Arial" w:hAnsi="Arial" w:cs="Arial"/>
                <w:b/>
                <w:bCs/>
              </w:rPr>
              <w:instrText>NUMPAGES</w:instrText>
            </w:r>
            <w:r w:rsidRPr="00F85A7B">
              <w:rPr>
                <w:rFonts w:ascii="Arial" w:hAnsi="Arial" w:cs="Arial"/>
                <w:b/>
                <w:bCs/>
              </w:rPr>
              <w:fldChar w:fldCharType="separate"/>
            </w:r>
            <w:r w:rsidR="00EA5909">
              <w:rPr>
                <w:rFonts w:ascii="Arial" w:hAnsi="Arial" w:cs="Arial"/>
                <w:b/>
                <w:bCs/>
                <w:noProof/>
              </w:rPr>
              <w:t>2</w:t>
            </w:r>
            <w:r w:rsidRPr="00F85A7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F85A7B" w:rsidRDefault="00F85A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C2" w:rsidRDefault="00DE59C2" w:rsidP="001929B8">
      <w:r>
        <w:separator/>
      </w:r>
    </w:p>
  </w:footnote>
  <w:footnote w:type="continuationSeparator" w:id="0">
    <w:p w:rsidR="00DE59C2" w:rsidRDefault="00DE59C2" w:rsidP="0019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34" w:rsidRPr="00DC4E34" w:rsidRDefault="00EA5909" w:rsidP="00DC4E34">
    <w:pPr>
      <w:pStyle w:val="Encabezado"/>
      <w:jc w:val="center"/>
      <w:rPr>
        <w:rFonts w:ascii="Arial" w:hAnsi="Arial" w:cs="Arial"/>
        <w:b/>
        <w:sz w:val="28"/>
        <w:szCs w:val="28"/>
        <w:lang w:val="es-PE"/>
      </w:rPr>
    </w:pPr>
    <w:r>
      <w:rPr>
        <w:rFonts w:ascii="Arial" w:hAnsi="Arial" w:cs="Arial"/>
        <w:b/>
        <w:sz w:val="28"/>
        <w:szCs w:val="28"/>
        <w:lang w:val="es-PE"/>
      </w:rPr>
      <w:t>ENTIDAD PARTICIPANTE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C3FE5"/>
    <w:multiLevelType w:val="hybridMultilevel"/>
    <w:tmpl w:val="1092303E"/>
    <w:lvl w:ilvl="0" w:tplc="D1B6B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A3049"/>
    <w:multiLevelType w:val="hybridMultilevel"/>
    <w:tmpl w:val="5714F4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223EC"/>
    <w:multiLevelType w:val="hybridMultilevel"/>
    <w:tmpl w:val="9BE2D796"/>
    <w:lvl w:ilvl="0" w:tplc="45564E8C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0F"/>
    <w:rsid w:val="00037141"/>
    <w:rsid w:val="0004255C"/>
    <w:rsid w:val="00045F06"/>
    <w:rsid w:val="00060E69"/>
    <w:rsid w:val="00096FAB"/>
    <w:rsid w:val="00117146"/>
    <w:rsid w:val="00130D85"/>
    <w:rsid w:val="001851D0"/>
    <w:rsid w:val="001929B8"/>
    <w:rsid w:val="001D1C7D"/>
    <w:rsid w:val="001D482B"/>
    <w:rsid w:val="00285149"/>
    <w:rsid w:val="002A13DF"/>
    <w:rsid w:val="002C7182"/>
    <w:rsid w:val="003C3C21"/>
    <w:rsid w:val="003D580F"/>
    <w:rsid w:val="00403713"/>
    <w:rsid w:val="0040550F"/>
    <w:rsid w:val="004413E2"/>
    <w:rsid w:val="00464AD5"/>
    <w:rsid w:val="00471161"/>
    <w:rsid w:val="004C08DA"/>
    <w:rsid w:val="0050542C"/>
    <w:rsid w:val="00526610"/>
    <w:rsid w:val="00551B39"/>
    <w:rsid w:val="00553E4D"/>
    <w:rsid w:val="005D3A30"/>
    <w:rsid w:val="00645E5B"/>
    <w:rsid w:val="00663BE3"/>
    <w:rsid w:val="006773C9"/>
    <w:rsid w:val="006C5BB1"/>
    <w:rsid w:val="0071360B"/>
    <w:rsid w:val="00740847"/>
    <w:rsid w:val="007757D1"/>
    <w:rsid w:val="00787170"/>
    <w:rsid w:val="0079181D"/>
    <w:rsid w:val="00795663"/>
    <w:rsid w:val="007D5288"/>
    <w:rsid w:val="007E2E4F"/>
    <w:rsid w:val="00801C39"/>
    <w:rsid w:val="00803672"/>
    <w:rsid w:val="00854494"/>
    <w:rsid w:val="008556D7"/>
    <w:rsid w:val="00873289"/>
    <w:rsid w:val="008C3D95"/>
    <w:rsid w:val="008E1DAA"/>
    <w:rsid w:val="0093773A"/>
    <w:rsid w:val="009948CC"/>
    <w:rsid w:val="009D3B7B"/>
    <w:rsid w:val="00A0393E"/>
    <w:rsid w:val="00A27152"/>
    <w:rsid w:val="00AC6813"/>
    <w:rsid w:val="00AE1EFA"/>
    <w:rsid w:val="00BA3B66"/>
    <w:rsid w:val="00BB289D"/>
    <w:rsid w:val="00BD678B"/>
    <w:rsid w:val="00BE1BF8"/>
    <w:rsid w:val="00C1723A"/>
    <w:rsid w:val="00C21852"/>
    <w:rsid w:val="00C429A7"/>
    <w:rsid w:val="00C46FB8"/>
    <w:rsid w:val="00CC593D"/>
    <w:rsid w:val="00D04D60"/>
    <w:rsid w:val="00D0725B"/>
    <w:rsid w:val="00D61E8D"/>
    <w:rsid w:val="00DC4E34"/>
    <w:rsid w:val="00DE59C2"/>
    <w:rsid w:val="00DF2122"/>
    <w:rsid w:val="00E3632C"/>
    <w:rsid w:val="00EA5909"/>
    <w:rsid w:val="00F3292E"/>
    <w:rsid w:val="00F34D69"/>
    <w:rsid w:val="00F524BA"/>
    <w:rsid w:val="00F53FA0"/>
    <w:rsid w:val="00F6764D"/>
    <w:rsid w:val="00F85A7B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14E8-BE66-4B70-937F-3711AB4F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uiPriority w:val="99"/>
    <w:rsid w:val="0040550F"/>
    <w:pPr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55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">
    <w:basedOn w:val="Normal"/>
    <w:next w:val="Normal"/>
    <w:uiPriority w:val="99"/>
    <w:qFormat/>
    <w:rsid w:val="00551B39"/>
    <w:pPr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ind w:left="1820" w:hanging="1820"/>
      <w:jc w:val="both"/>
    </w:pPr>
    <w:rPr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55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929B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2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29B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4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4B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F85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5A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5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A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676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764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76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76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764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5ED-F8FF-4FE5-B591-0E45CB5E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BCRP.GOB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Ayllon Vasquez, Roy Roland</dc:creator>
  <cp:keywords/>
  <dc:description/>
  <cp:lastModifiedBy>Espino Lazo, Freddy  Santiago</cp:lastModifiedBy>
  <cp:revision>4</cp:revision>
  <cp:lastPrinted>2015-03-18T15:15:00Z</cp:lastPrinted>
  <dcterms:created xsi:type="dcterms:W3CDTF">2020-04-27T19:40:00Z</dcterms:created>
  <dcterms:modified xsi:type="dcterms:W3CDTF">2020-04-27T19:55:00Z</dcterms:modified>
</cp:coreProperties>
</file>