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773A" w14:textId="77777777" w:rsidR="00852A85" w:rsidRDefault="00852A85" w:rsidP="00EE1E6D">
      <w:pPr>
        <w:pStyle w:val="Textoindependiente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CONTRATO ESPECÍFICO</w:t>
      </w:r>
    </w:p>
    <w:p w14:paraId="596DAFE1" w14:textId="77777777" w:rsidR="002F140D" w:rsidRPr="002B065C" w:rsidRDefault="00DD7CDC" w:rsidP="00EE1E6D">
      <w:pPr>
        <w:pStyle w:val="Textoindependiente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OPERACIONES </w:t>
      </w:r>
      <w:r w:rsidR="002F140D" w:rsidRPr="00A056B3">
        <w:rPr>
          <w:rFonts w:cs="Arial"/>
          <w:b/>
          <w:bCs/>
          <w:szCs w:val="22"/>
        </w:rPr>
        <w:t>DE</w:t>
      </w:r>
      <w:r>
        <w:rPr>
          <w:rFonts w:cs="Arial"/>
          <w:b/>
          <w:bCs/>
          <w:szCs w:val="22"/>
        </w:rPr>
        <w:t xml:space="preserve"> REPORTE </w:t>
      </w:r>
      <w:r w:rsidR="002F140D" w:rsidRPr="00A056B3">
        <w:rPr>
          <w:rFonts w:cs="Arial"/>
          <w:b/>
          <w:bCs/>
          <w:szCs w:val="22"/>
        </w:rPr>
        <w:t xml:space="preserve">DE CARTERA DE CREDITOS </w:t>
      </w:r>
      <w:r w:rsidR="002F140D" w:rsidRPr="002B065C">
        <w:rPr>
          <w:rFonts w:cs="Arial"/>
          <w:b/>
          <w:bCs/>
          <w:szCs w:val="22"/>
        </w:rPr>
        <w:t>REPRESENTADA EN TITULOS VALORES</w:t>
      </w:r>
    </w:p>
    <w:p w14:paraId="60013356" w14:textId="77777777" w:rsidR="002F140D" w:rsidRDefault="002F140D" w:rsidP="00083F06">
      <w:pPr>
        <w:pStyle w:val="Textoindependiente"/>
        <w:jc w:val="center"/>
        <w:rPr>
          <w:rFonts w:cs="Arial"/>
          <w:szCs w:val="22"/>
        </w:rPr>
      </w:pPr>
    </w:p>
    <w:p w14:paraId="291B59F6" w14:textId="77777777" w:rsidR="00CB0214" w:rsidRPr="001B543B" w:rsidRDefault="00CB0214">
      <w:pPr>
        <w:jc w:val="both"/>
        <w:rPr>
          <w:rFonts w:ascii="Arial" w:hAnsi="Arial" w:cs="Arial"/>
          <w:bCs/>
          <w:sz w:val="22"/>
          <w:szCs w:val="22"/>
        </w:rPr>
      </w:pPr>
      <w:r w:rsidRPr="001B543B">
        <w:rPr>
          <w:rFonts w:ascii="Arial" w:hAnsi="Arial" w:cs="Arial"/>
          <w:b/>
          <w:bCs/>
          <w:sz w:val="22"/>
          <w:szCs w:val="22"/>
        </w:rPr>
        <w:t>Fecha:</w:t>
      </w:r>
      <w:r w:rsidRPr="001B543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B543B">
        <w:rPr>
          <w:rFonts w:ascii="Arial" w:hAnsi="Arial" w:cs="Arial"/>
          <w:bCs/>
          <w:color w:val="BFBFBF" w:themeColor="background1" w:themeShade="BF"/>
          <w:sz w:val="22"/>
          <w:szCs w:val="22"/>
        </w:rPr>
        <w:t>dd</w:t>
      </w:r>
      <w:proofErr w:type="spellEnd"/>
      <w:r w:rsidRPr="001B543B">
        <w:rPr>
          <w:rFonts w:ascii="Arial" w:hAnsi="Arial" w:cs="Arial"/>
          <w:bCs/>
          <w:color w:val="BFBFBF" w:themeColor="background1" w:themeShade="BF"/>
          <w:sz w:val="22"/>
          <w:szCs w:val="22"/>
        </w:rPr>
        <w:t>-mm-</w:t>
      </w:r>
      <w:proofErr w:type="spellStart"/>
      <w:r w:rsidRPr="001B543B">
        <w:rPr>
          <w:rFonts w:ascii="Arial" w:hAnsi="Arial" w:cs="Arial"/>
          <w:bCs/>
          <w:color w:val="BFBFBF" w:themeColor="background1" w:themeShade="BF"/>
          <w:sz w:val="22"/>
          <w:szCs w:val="22"/>
        </w:rPr>
        <w:t>aaaa</w:t>
      </w:r>
      <w:proofErr w:type="spellEnd"/>
      <w:r w:rsidRPr="001B543B">
        <w:rPr>
          <w:rFonts w:ascii="Arial" w:hAnsi="Arial" w:cs="Arial"/>
          <w:bCs/>
          <w:color w:val="BFBFBF" w:themeColor="background1" w:themeShade="BF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Cs/>
          <w:color w:val="BFBFBF" w:themeColor="background1" w:themeShade="BF"/>
          <w:sz w:val="22"/>
          <w:szCs w:val="22"/>
        </w:rPr>
        <w:t xml:space="preserve">                             </w:t>
      </w:r>
      <w:r w:rsidRPr="001B543B">
        <w:rPr>
          <w:rFonts w:ascii="Arial" w:hAnsi="Arial" w:cs="Arial"/>
          <w:b/>
          <w:bCs/>
          <w:sz w:val="22"/>
          <w:szCs w:val="22"/>
        </w:rPr>
        <w:t>Clave Facsímil:</w:t>
      </w:r>
    </w:p>
    <w:p w14:paraId="1957058A" w14:textId="77777777" w:rsidR="00CB0214" w:rsidRPr="00A056B3" w:rsidRDefault="00CB0214">
      <w:pPr>
        <w:pStyle w:val="Textoindependiente"/>
        <w:jc w:val="both"/>
        <w:rPr>
          <w:rFonts w:cs="Arial"/>
          <w:szCs w:val="22"/>
        </w:rPr>
      </w:pPr>
    </w:p>
    <w:p w14:paraId="3A7C4A70" w14:textId="75975767" w:rsidR="002F140D" w:rsidRPr="00883382" w:rsidRDefault="002F140D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A056B3">
        <w:rPr>
          <w:rFonts w:ascii="Arial" w:hAnsi="Arial" w:cs="Arial"/>
          <w:sz w:val="22"/>
          <w:szCs w:val="22"/>
          <w:lang w:val="es-PE"/>
        </w:rPr>
        <w:t>E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l presente Contrato Específico de </w:t>
      </w:r>
      <w:r w:rsidR="00DD7CDC">
        <w:rPr>
          <w:rFonts w:ascii="Arial" w:hAnsi="Arial" w:cs="Arial"/>
          <w:sz w:val="22"/>
          <w:szCs w:val="22"/>
          <w:lang w:val="es-ES_tradnl"/>
        </w:rPr>
        <w:t xml:space="preserve">Operaciones de Reporte </w:t>
      </w:r>
      <w:r w:rsidR="009F3610">
        <w:rPr>
          <w:rFonts w:ascii="Arial" w:hAnsi="Arial" w:cs="Arial"/>
          <w:sz w:val="22"/>
          <w:szCs w:val="22"/>
          <w:lang w:val="es-ES_tradnl"/>
        </w:rPr>
        <w:t xml:space="preserve">de Cartera de Crédito Representada en Títulos Valores 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(en adelante, el Contrato Específico) se suscribe al amparo </w:t>
      </w:r>
      <w:r w:rsidR="00DD7CDC">
        <w:rPr>
          <w:rFonts w:ascii="Arial" w:hAnsi="Arial" w:cs="Arial"/>
          <w:sz w:val="22"/>
          <w:szCs w:val="22"/>
          <w:lang w:val="es-ES_tradnl"/>
        </w:rPr>
        <w:t>y con sujeción a las disposiciones contenidas en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D7CDC">
        <w:rPr>
          <w:rFonts w:ascii="Arial" w:hAnsi="Arial" w:cs="Arial"/>
          <w:sz w:val="22"/>
          <w:szCs w:val="22"/>
          <w:lang w:val="es-ES_tradnl"/>
        </w:rPr>
        <w:t>la Ley de Operaciones de Reporte, Ley N</w:t>
      </w:r>
      <w:r w:rsidR="00D42DE8">
        <w:rPr>
          <w:rFonts w:ascii="Arial" w:hAnsi="Arial" w:cs="Arial"/>
          <w:sz w:val="22"/>
          <w:szCs w:val="22"/>
          <w:lang w:val="es-ES_tradnl"/>
        </w:rPr>
        <w:t>°</w:t>
      </w:r>
      <w:r w:rsidR="00DD7CDC">
        <w:rPr>
          <w:rFonts w:ascii="Arial" w:hAnsi="Arial" w:cs="Arial"/>
          <w:sz w:val="22"/>
          <w:szCs w:val="22"/>
          <w:lang w:val="es-ES_tradnl"/>
        </w:rPr>
        <w:t xml:space="preserve"> 30052 (La Ley), en </w:t>
      </w:r>
      <w:r w:rsidRPr="00122081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82759B" w:rsidRPr="00122081">
        <w:rPr>
          <w:rFonts w:ascii="Arial" w:hAnsi="Arial" w:cs="Arial"/>
          <w:sz w:val="22"/>
          <w:szCs w:val="22"/>
        </w:rPr>
        <w:t xml:space="preserve">Circular N° </w:t>
      </w:r>
      <w:r w:rsidR="00093F17" w:rsidRPr="00122081">
        <w:rPr>
          <w:rFonts w:ascii="Arial" w:hAnsi="Arial" w:cs="Arial"/>
          <w:sz w:val="22"/>
          <w:szCs w:val="22"/>
        </w:rPr>
        <w:t>0014-2020</w:t>
      </w:r>
      <w:r w:rsidR="0082759B" w:rsidRPr="00122081">
        <w:rPr>
          <w:rFonts w:ascii="Arial" w:hAnsi="Arial" w:cs="Arial"/>
          <w:sz w:val="22"/>
          <w:szCs w:val="22"/>
        </w:rPr>
        <w:t>-BCRP</w:t>
      </w:r>
      <w:r w:rsidR="00353D96" w:rsidRPr="00122081">
        <w:rPr>
          <w:rFonts w:ascii="Arial" w:hAnsi="Arial" w:cs="Arial"/>
          <w:sz w:val="22"/>
          <w:szCs w:val="22"/>
        </w:rPr>
        <w:t xml:space="preserve"> o la</w:t>
      </w:r>
      <w:r w:rsidR="00353D96">
        <w:rPr>
          <w:rFonts w:ascii="Arial" w:hAnsi="Arial" w:cs="Arial"/>
          <w:sz w:val="22"/>
          <w:szCs w:val="22"/>
        </w:rPr>
        <w:t xml:space="preserve"> que la sustituya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 (La Circular) y</w:t>
      </w:r>
      <w:r w:rsidR="00DD7CDC">
        <w:rPr>
          <w:rFonts w:ascii="Arial" w:hAnsi="Arial" w:cs="Arial"/>
          <w:sz w:val="22"/>
          <w:szCs w:val="22"/>
          <w:lang w:val="es-ES_tradnl"/>
        </w:rPr>
        <w:t>, en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 el </w:t>
      </w:r>
      <w:r w:rsidR="00BC650E" w:rsidRPr="00BC650E">
        <w:rPr>
          <w:rFonts w:ascii="Arial" w:hAnsi="Arial" w:cs="Arial"/>
          <w:sz w:val="22"/>
          <w:szCs w:val="22"/>
          <w:lang w:val="es-ES_tradnl"/>
        </w:rPr>
        <w:t>Contrato Marco de Operaciones de Reporte de Cartera de Créditos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, suscrito </w:t>
      </w:r>
      <w:r w:rsidR="00C16625">
        <w:rPr>
          <w:rFonts w:ascii="Arial" w:hAnsi="Arial" w:cs="Arial"/>
          <w:sz w:val="22"/>
          <w:szCs w:val="22"/>
          <w:lang w:val="es-ES_tradnl"/>
        </w:rPr>
        <w:t xml:space="preserve">el 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entre el Banco Central de Reserva del Perú (EL BCRP) y </w:t>
      </w:r>
      <w:r w:rsidR="00DD7CDC">
        <w:rPr>
          <w:rFonts w:ascii="Arial" w:hAnsi="Arial" w:cs="Arial"/>
          <w:sz w:val="22"/>
          <w:szCs w:val="22"/>
          <w:lang w:val="es-ES_tradnl"/>
        </w:rPr>
        <w:t xml:space="preserve">… (nombre de </w:t>
      </w:r>
      <w:r w:rsidRPr="00A056B3">
        <w:rPr>
          <w:rFonts w:ascii="Arial" w:hAnsi="Arial" w:cs="Arial"/>
          <w:sz w:val="22"/>
          <w:szCs w:val="22"/>
          <w:lang w:val="es-ES_tradnl"/>
        </w:rPr>
        <w:t>la empresa</w:t>
      </w:r>
      <w:r w:rsidR="00DD7CDC">
        <w:rPr>
          <w:rFonts w:ascii="Arial" w:hAnsi="Arial" w:cs="Arial"/>
          <w:sz w:val="22"/>
          <w:szCs w:val="22"/>
          <w:lang w:val="es-ES_tradnl"/>
        </w:rPr>
        <w:t>)…</w:t>
      </w:r>
      <w:r w:rsidRPr="00A056B3">
        <w:rPr>
          <w:rFonts w:ascii="Arial" w:hAnsi="Arial" w:cs="Arial"/>
          <w:sz w:val="22"/>
          <w:szCs w:val="22"/>
          <w:lang w:val="es-ES_tradnl"/>
        </w:rPr>
        <w:t xml:space="preserve"> (LA </w:t>
      </w:r>
      <w:r w:rsidR="00420AC4" w:rsidRPr="00A056B3">
        <w:rPr>
          <w:rFonts w:ascii="Arial" w:hAnsi="Arial" w:cs="Arial"/>
          <w:sz w:val="22"/>
          <w:szCs w:val="22"/>
          <w:lang w:val="es-ES_tradnl"/>
        </w:rPr>
        <w:t>E</w:t>
      </w:r>
      <w:r w:rsidR="00420AC4">
        <w:rPr>
          <w:rFonts w:ascii="Arial" w:hAnsi="Arial" w:cs="Arial"/>
          <w:sz w:val="22"/>
          <w:szCs w:val="22"/>
          <w:lang w:val="es-ES_tradnl"/>
        </w:rPr>
        <w:t>P</w:t>
      </w:r>
      <w:r w:rsidR="00BC650E">
        <w:rPr>
          <w:rFonts w:ascii="Arial" w:hAnsi="Arial" w:cs="Arial"/>
          <w:sz w:val="22"/>
          <w:szCs w:val="22"/>
          <w:lang w:val="es-ES_tradnl"/>
        </w:rPr>
        <w:t>)</w:t>
      </w:r>
      <w:r w:rsidR="00BC650E" w:rsidRPr="00A056B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056B3">
        <w:rPr>
          <w:rFonts w:ascii="Arial" w:hAnsi="Arial" w:cs="Arial"/>
          <w:sz w:val="22"/>
          <w:szCs w:val="22"/>
          <w:lang w:val="es-ES_tradnl"/>
        </w:rPr>
        <w:t>(</w:t>
      </w:r>
      <w:proofErr w:type="gramStart"/>
      <w:r w:rsidRPr="00A056B3">
        <w:rPr>
          <w:rFonts w:ascii="Arial" w:hAnsi="Arial" w:cs="Arial"/>
          <w:sz w:val="22"/>
          <w:szCs w:val="22"/>
          <w:lang w:val="es-ES_tradnl"/>
        </w:rPr>
        <w:t>en</w:t>
      </w:r>
      <w:proofErr w:type="gramEnd"/>
      <w:r w:rsidRPr="00A056B3">
        <w:rPr>
          <w:rFonts w:ascii="Arial" w:hAnsi="Arial" w:cs="Arial"/>
          <w:sz w:val="22"/>
          <w:szCs w:val="22"/>
          <w:lang w:val="es-ES_tradnl"/>
        </w:rPr>
        <w:t xml:space="preserve"> adelante, el Contrato Marco).</w:t>
      </w:r>
      <w:r w:rsidR="0088338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4D407338" w14:textId="77777777" w:rsidR="002F140D" w:rsidRPr="00A056B3" w:rsidRDefault="002F140D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</w:p>
    <w:p w14:paraId="3C90FE97" w14:textId="77777777" w:rsidR="002F140D" w:rsidRPr="00A056B3" w:rsidRDefault="002F140D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 w:rsidRPr="00A056B3">
        <w:rPr>
          <w:b/>
          <w:bCs/>
          <w:szCs w:val="22"/>
          <w:lang w:val="es-ES_tradnl"/>
        </w:rPr>
        <w:t>PRIMERA</w:t>
      </w:r>
      <w:r w:rsidRPr="00A056B3">
        <w:rPr>
          <w:szCs w:val="22"/>
          <w:lang w:val="es-ES_tradnl"/>
        </w:rPr>
        <w:t xml:space="preserve">.- </w:t>
      </w:r>
      <w:r w:rsidR="00DD7CDC">
        <w:rPr>
          <w:szCs w:val="22"/>
          <w:lang w:val="es-ES_tradnl"/>
        </w:rPr>
        <w:t xml:space="preserve">En virtud de </w:t>
      </w:r>
      <w:r w:rsidRPr="00A056B3">
        <w:rPr>
          <w:szCs w:val="22"/>
          <w:lang w:val="es-ES_tradnl"/>
        </w:rPr>
        <w:t>las disposiciones referid</w:t>
      </w:r>
      <w:r w:rsidR="00DD7CDC">
        <w:rPr>
          <w:szCs w:val="22"/>
          <w:lang w:val="es-ES_tradnl"/>
        </w:rPr>
        <w:t>a</w:t>
      </w:r>
      <w:r w:rsidRPr="00A056B3">
        <w:rPr>
          <w:szCs w:val="22"/>
          <w:lang w:val="es-ES_tradnl"/>
        </w:rPr>
        <w:t xml:space="preserve">s en la introducción del presente </w:t>
      </w:r>
      <w:r w:rsidR="00B22F1D">
        <w:rPr>
          <w:szCs w:val="22"/>
          <w:lang w:val="es-ES_tradnl"/>
        </w:rPr>
        <w:t>C</w:t>
      </w:r>
      <w:r w:rsidRPr="00A056B3">
        <w:rPr>
          <w:szCs w:val="22"/>
          <w:lang w:val="es-ES_tradnl"/>
        </w:rPr>
        <w:t>ontrato</w:t>
      </w:r>
      <w:r w:rsidR="00B22F1D">
        <w:rPr>
          <w:szCs w:val="22"/>
          <w:lang w:val="es-ES_tradnl"/>
        </w:rPr>
        <w:t xml:space="preserve"> Específico</w:t>
      </w:r>
      <w:r w:rsidR="00C16625">
        <w:rPr>
          <w:szCs w:val="22"/>
          <w:lang w:val="es-ES_tradnl"/>
        </w:rPr>
        <w:t xml:space="preserve"> </w:t>
      </w:r>
      <w:r w:rsidRPr="00A056B3">
        <w:rPr>
          <w:szCs w:val="22"/>
          <w:lang w:val="es-ES_tradnl"/>
        </w:rPr>
        <w:t xml:space="preserve">LA </w:t>
      </w:r>
      <w:r w:rsidR="00420AC4" w:rsidRPr="00A056B3">
        <w:rPr>
          <w:szCs w:val="22"/>
          <w:lang w:val="es-ES_tradnl"/>
        </w:rPr>
        <w:t>E</w:t>
      </w:r>
      <w:r w:rsidR="00420AC4">
        <w:rPr>
          <w:szCs w:val="22"/>
          <w:lang w:val="es-ES_tradnl"/>
        </w:rPr>
        <w:t>P</w:t>
      </w:r>
      <w:r w:rsidR="00420AC4" w:rsidRPr="00A056B3">
        <w:rPr>
          <w:szCs w:val="22"/>
          <w:lang w:val="es-ES_tradnl"/>
        </w:rPr>
        <w:t xml:space="preserve"> </w:t>
      </w:r>
      <w:r w:rsidRPr="00A056B3">
        <w:rPr>
          <w:szCs w:val="22"/>
          <w:lang w:val="es-ES_tradnl"/>
        </w:rPr>
        <w:t xml:space="preserve">cede y transfiere a EL BCRP </w:t>
      </w:r>
      <w:r w:rsidR="009F3610">
        <w:rPr>
          <w:szCs w:val="22"/>
          <w:lang w:val="es-ES_tradnl"/>
        </w:rPr>
        <w:t>l</w:t>
      </w:r>
      <w:r w:rsidRPr="00A056B3">
        <w:rPr>
          <w:szCs w:val="22"/>
          <w:lang w:val="es-ES_tradnl"/>
        </w:rPr>
        <w:t xml:space="preserve">os </w:t>
      </w:r>
      <w:r w:rsidR="00D42DE8">
        <w:rPr>
          <w:szCs w:val="22"/>
          <w:lang w:val="es-ES_tradnl"/>
        </w:rPr>
        <w:t>c</w:t>
      </w:r>
      <w:r w:rsidRPr="00A056B3">
        <w:rPr>
          <w:szCs w:val="22"/>
          <w:lang w:val="es-ES_tradnl"/>
        </w:rPr>
        <w:t xml:space="preserve">réditos que se detallan en el </w:t>
      </w:r>
      <w:r w:rsidR="009F3610">
        <w:rPr>
          <w:szCs w:val="22"/>
          <w:lang w:val="es-ES_tradnl"/>
        </w:rPr>
        <w:t>Anexo N° 1</w:t>
      </w:r>
      <w:r w:rsidRPr="00A056B3">
        <w:rPr>
          <w:szCs w:val="22"/>
          <w:lang w:val="es-ES_tradnl"/>
        </w:rPr>
        <w:t xml:space="preserve"> </w:t>
      </w:r>
      <w:r w:rsidR="00DD7CDC">
        <w:rPr>
          <w:szCs w:val="22"/>
          <w:lang w:val="es-ES_tradnl"/>
        </w:rPr>
        <w:t>del mismo</w:t>
      </w:r>
      <w:r w:rsidR="00187DAE">
        <w:rPr>
          <w:szCs w:val="22"/>
          <w:lang w:val="es-ES_tradnl"/>
        </w:rPr>
        <w:t>, conjuntamente con sus garantías;</w:t>
      </w:r>
      <w:r w:rsidR="00DD7CDC">
        <w:rPr>
          <w:szCs w:val="22"/>
          <w:lang w:val="es-ES_tradnl"/>
        </w:rPr>
        <w:t xml:space="preserve"> </w:t>
      </w:r>
      <w:r w:rsidRPr="00A056B3">
        <w:rPr>
          <w:szCs w:val="22"/>
          <w:lang w:val="es-ES_tradnl"/>
        </w:rPr>
        <w:t>y</w:t>
      </w:r>
      <w:r w:rsidR="00B22F1D">
        <w:rPr>
          <w:szCs w:val="22"/>
          <w:lang w:val="es-ES_tradnl"/>
        </w:rPr>
        <w:t>,</w:t>
      </w:r>
      <w:r w:rsidRPr="00A056B3">
        <w:rPr>
          <w:szCs w:val="22"/>
          <w:lang w:val="es-ES_tradnl"/>
        </w:rPr>
        <w:t xml:space="preserve"> </w:t>
      </w:r>
      <w:r w:rsidR="00DD7CDC">
        <w:rPr>
          <w:szCs w:val="22"/>
          <w:lang w:val="es-ES_tradnl"/>
        </w:rPr>
        <w:t>simultáneamente</w:t>
      </w:r>
      <w:r w:rsidR="00B22F1D">
        <w:rPr>
          <w:szCs w:val="22"/>
          <w:lang w:val="es-ES_tradnl"/>
        </w:rPr>
        <w:t>,</w:t>
      </w:r>
      <w:r w:rsidR="00DD7CDC">
        <w:rPr>
          <w:szCs w:val="22"/>
          <w:lang w:val="es-ES_tradnl"/>
        </w:rPr>
        <w:t xml:space="preserve"> </w:t>
      </w:r>
      <w:r w:rsidRPr="00A056B3">
        <w:rPr>
          <w:szCs w:val="22"/>
          <w:lang w:val="es-ES_tradnl"/>
        </w:rPr>
        <w:t>asume la obligación de recomprar dichos créditos</w:t>
      </w:r>
      <w:r w:rsidR="00B21001">
        <w:rPr>
          <w:szCs w:val="22"/>
          <w:lang w:val="es-ES_tradnl"/>
        </w:rPr>
        <w:t xml:space="preserve">, en los términos contenidos en el Contrato Marco antes </w:t>
      </w:r>
      <w:r w:rsidR="00C16625">
        <w:rPr>
          <w:szCs w:val="22"/>
          <w:lang w:val="es-ES_tradnl"/>
        </w:rPr>
        <w:t>citado</w:t>
      </w:r>
      <w:r w:rsidR="00187DAE">
        <w:rPr>
          <w:szCs w:val="22"/>
          <w:lang w:val="es-ES_tradnl"/>
        </w:rPr>
        <w:t>.</w:t>
      </w:r>
      <w:r w:rsidRPr="00A056B3">
        <w:rPr>
          <w:szCs w:val="22"/>
          <w:lang w:val="es-ES_tradnl"/>
        </w:rPr>
        <w:t xml:space="preserve"> </w:t>
      </w:r>
    </w:p>
    <w:p w14:paraId="2183B921" w14:textId="77777777" w:rsidR="0027354E" w:rsidRDefault="0027354E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</w:p>
    <w:p w14:paraId="5561EB66" w14:textId="64F585CF" w:rsidR="00187DAE" w:rsidRDefault="00187DAE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>El referido Anexo</w:t>
      </w:r>
      <w:r w:rsidR="00B21001">
        <w:rPr>
          <w:szCs w:val="22"/>
          <w:lang w:val="es-ES_tradnl"/>
        </w:rPr>
        <w:t xml:space="preserve"> </w:t>
      </w:r>
      <w:r>
        <w:rPr>
          <w:szCs w:val="22"/>
          <w:lang w:val="es-ES_tradnl"/>
        </w:rPr>
        <w:t xml:space="preserve">1 se integra y forma parte del presente Contrato Específico. Asimismo, en caso se efectúe la sustitución de créditos prevista en el Contrato Marco, los </w:t>
      </w:r>
      <w:r w:rsidR="00B21001">
        <w:rPr>
          <w:szCs w:val="22"/>
          <w:lang w:val="es-ES_tradnl"/>
        </w:rPr>
        <w:t>a</w:t>
      </w:r>
      <w:r>
        <w:rPr>
          <w:szCs w:val="22"/>
          <w:lang w:val="es-ES_tradnl"/>
        </w:rPr>
        <w:t xml:space="preserve">nexos adicionales que se generen </w:t>
      </w:r>
      <w:r w:rsidR="00B21001">
        <w:rPr>
          <w:szCs w:val="22"/>
          <w:lang w:val="es-ES_tradnl"/>
        </w:rPr>
        <w:t xml:space="preserve">como consecuencia de ello </w:t>
      </w:r>
      <w:r>
        <w:rPr>
          <w:szCs w:val="22"/>
          <w:lang w:val="es-ES_tradnl"/>
        </w:rPr>
        <w:t>también se integran y forman parte de</w:t>
      </w:r>
      <w:r w:rsidR="00B21001">
        <w:rPr>
          <w:szCs w:val="22"/>
          <w:lang w:val="es-ES_tradnl"/>
        </w:rPr>
        <w:t xml:space="preserve"> este</w:t>
      </w:r>
      <w:r w:rsidR="00C7593D">
        <w:rPr>
          <w:szCs w:val="22"/>
          <w:lang w:val="es-ES_tradnl"/>
        </w:rPr>
        <w:t xml:space="preserve"> Contrato Específico.</w:t>
      </w:r>
      <w:r>
        <w:rPr>
          <w:szCs w:val="22"/>
          <w:lang w:val="es-ES_tradnl"/>
        </w:rPr>
        <w:t xml:space="preserve"> </w:t>
      </w:r>
    </w:p>
    <w:p w14:paraId="28907BAD" w14:textId="77777777" w:rsidR="00187DAE" w:rsidRPr="00A056B3" w:rsidRDefault="00187DAE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</w:p>
    <w:p w14:paraId="49E56A99" w14:textId="452206D9" w:rsidR="002F140D" w:rsidRDefault="00B21001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>
        <w:rPr>
          <w:szCs w:val="22"/>
        </w:rPr>
        <w:t xml:space="preserve">Respecto de </w:t>
      </w:r>
      <w:r w:rsidR="00C7593D">
        <w:rPr>
          <w:szCs w:val="22"/>
        </w:rPr>
        <w:t>las garantías</w:t>
      </w:r>
      <w:r w:rsidR="003A7376">
        <w:rPr>
          <w:szCs w:val="22"/>
        </w:rPr>
        <w:t xml:space="preserve"> </w:t>
      </w:r>
      <w:r w:rsidR="003A7376" w:rsidRPr="002B065C">
        <w:rPr>
          <w:szCs w:val="22"/>
        </w:rPr>
        <w:t>genéricas o</w:t>
      </w:r>
      <w:r w:rsidR="00C7593D" w:rsidRPr="002B065C">
        <w:rPr>
          <w:szCs w:val="22"/>
        </w:rPr>
        <w:t xml:space="preserve"> </w:t>
      </w:r>
      <w:r w:rsidR="001A2D59" w:rsidRPr="002B065C">
        <w:rPr>
          <w:szCs w:val="22"/>
        </w:rPr>
        <w:t>abiertas</w:t>
      </w:r>
      <w:r w:rsidR="00C7593D" w:rsidRPr="002B065C">
        <w:rPr>
          <w:szCs w:val="22"/>
        </w:rPr>
        <w:t xml:space="preserve"> que respaldan</w:t>
      </w:r>
      <w:r w:rsidR="00C7593D">
        <w:rPr>
          <w:szCs w:val="22"/>
        </w:rPr>
        <w:t xml:space="preserve"> créditos </w:t>
      </w:r>
      <w:r>
        <w:rPr>
          <w:szCs w:val="22"/>
        </w:rPr>
        <w:t xml:space="preserve">materia </w:t>
      </w:r>
      <w:r w:rsidR="00C7593D">
        <w:rPr>
          <w:szCs w:val="22"/>
        </w:rPr>
        <w:t>del presente Contrato Específico, és</w:t>
      </w:r>
      <w:r>
        <w:rPr>
          <w:szCs w:val="22"/>
        </w:rPr>
        <w:t>tas</w:t>
      </w:r>
      <w:r w:rsidR="00C7593D">
        <w:rPr>
          <w:szCs w:val="22"/>
        </w:rPr>
        <w:t>, así como los al</w:t>
      </w:r>
      <w:r>
        <w:rPr>
          <w:szCs w:val="22"/>
        </w:rPr>
        <w:t>c</w:t>
      </w:r>
      <w:r w:rsidR="00C7593D">
        <w:rPr>
          <w:szCs w:val="22"/>
        </w:rPr>
        <w:t>ances de su aplicación, se detallan en el Anexo</w:t>
      </w:r>
      <w:r w:rsidR="000D557D">
        <w:rPr>
          <w:szCs w:val="22"/>
        </w:rPr>
        <w:t xml:space="preserve"> </w:t>
      </w:r>
      <w:r w:rsidR="00C7593D">
        <w:rPr>
          <w:szCs w:val="22"/>
        </w:rPr>
        <w:t xml:space="preserve"> 2 que integra y forma parte del mismo.</w:t>
      </w:r>
    </w:p>
    <w:p w14:paraId="407BAC3E" w14:textId="77777777" w:rsidR="004D63BA" w:rsidRPr="00E46E30" w:rsidRDefault="004D63BA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</w:p>
    <w:p w14:paraId="638BAA07" w14:textId="6FC3C8D4" w:rsidR="004D63BA" w:rsidRPr="00E46E30" w:rsidRDefault="004D63BA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 w:rsidRPr="00E46E30">
        <w:rPr>
          <w:szCs w:val="22"/>
          <w:lang w:val="es-ES_tradnl"/>
        </w:rPr>
        <w:t xml:space="preserve">Los Anexos están publicados en el Portal </w:t>
      </w:r>
      <w:r w:rsidR="00A71978">
        <w:rPr>
          <w:szCs w:val="22"/>
          <w:lang w:val="es-ES_tradnl"/>
        </w:rPr>
        <w:t>W</w:t>
      </w:r>
      <w:r w:rsidRPr="00E46E30">
        <w:rPr>
          <w:szCs w:val="22"/>
          <w:lang w:val="es-ES_tradnl"/>
        </w:rPr>
        <w:t>eb del Banco Central y deben ser enviados por LA EP en formato Excel por correo electrónico al Departamento de Liquidación y Control de Operaciones Internas, Dpto.RegistroLiqConOpeInt@bcrp.gob.pe, o a través del SIB-FTP en los canales que se indique. Los archivos Excel que se envíen al Banco Central deberán tener la siguiente estructura:</w:t>
      </w:r>
    </w:p>
    <w:p w14:paraId="0006BC3E" w14:textId="77777777" w:rsidR="004D63BA" w:rsidRPr="00E46E30" w:rsidRDefault="004D63BA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</w:p>
    <w:p w14:paraId="1D704701" w14:textId="696D0010" w:rsidR="009D71E0" w:rsidRPr="00E46E30" w:rsidRDefault="003E1D5A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>REPO-</w:t>
      </w:r>
      <w:r w:rsidR="009D71E0" w:rsidRPr="00E46E30">
        <w:rPr>
          <w:szCs w:val="22"/>
          <w:lang w:val="es-ES_tradnl"/>
        </w:rPr>
        <w:t>CARTERA-[Código d</w:t>
      </w:r>
      <w:r w:rsidR="00715F39">
        <w:rPr>
          <w:szCs w:val="22"/>
          <w:lang w:val="es-ES_tradnl"/>
        </w:rPr>
        <w:t>e la EP]-[N° de Operación].xlsx</w:t>
      </w:r>
    </w:p>
    <w:p w14:paraId="7760B8D8" w14:textId="53BCC237" w:rsidR="009D71E0" w:rsidRPr="00E46E30" w:rsidRDefault="003E1D5A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>REPO-</w:t>
      </w:r>
      <w:r w:rsidR="009D71E0" w:rsidRPr="00E46E30">
        <w:rPr>
          <w:szCs w:val="22"/>
          <w:lang w:val="es-ES_tradnl"/>
        </w:rPr>
        <w:t>CARTERA-000#-000#-.xlsx</w:t>
      </w:r>
    </w:p>
    <w:p w14:paraId="54A028E2" w14:textId="77777777" w:rsidR="009D71E0" w:rsidRDefault="009D71E0">
      <w:pPr>
        <w:pStyle w:val="Encabezado"/>
        <w:tabs>
          <w:tab w:val="clear" w:pos="4252"/>
          <w:tab w:val="clear" w:pos="8504"/>
        </w:tabs>
        <w:ind w:left="567" w:hanging="567"/>
        <w:jc w:val="both"/>
        <w:rPr>
          <w:szCs w:val="22"/>
          <w:lang w:val="es-ES_tradnl"/>
        </w:rPr>
      </w:pPr>
    </w:p>
    <w:p w14:paraId="1F4D4E08" w14:textId="77777777" w:rsidR="002F140D" w:rsidRDefault="00B21001">
      <w:pPr>
        <w:pStyle w:val="Encabezado"/>
        <w:tabs>
          <w:tab w:val="clear" w:pos="4252"/>
          <w:tab w:val="clear" w:pos="8504"/>
        </w:tabs>
        <w:ind w:left="567" w:hanging="567"/>
        <w:jc w:val="both"/>
        <w:rPr>
          <w:szCs w:val="22"/>
          <w:lang w:val="es-ES_tradnl"/>
        </w:rPr>
      </w:pPr>
      <w:r w:rsidRPr="00852A85">
        <w:rPr>
          <w:b/>
          <w:szCs w:val="22"/>
          <w:lang w:val="es-ES_tradnl"/>
        </w:rPr>
        <w:t>SEGUNDA</w:t>
      </w:r>
      <w:r>
        <w:rPr>
          <w:szCs w:val="22"/>
          <w:lang w:val="es-ES_tradnl"/>
        </w:rPr>
        <w:t>.- El contrato Específico se sujeta, además, a lo siguientes términos:</w:t>
      </w:r>
    </w:p>
    <w:p w14:paraId="73B739E8" w14:textId="77777777" w:rsidR="00852A85" w:rsidRDefault="00852A85">
      <w:pPr>
        <w:pStyle w:val="Encabezado"/>
        <w:tabs>
          <w:tab w:val="clear" w:pos="4252"/>
          <w:tab w:val="clear" w:pos="8504"/>
        </w:tabs>
        <w:ind w:left="567" w:hanging="567"/>
        <w:jc w:val="both"/>
        <w:rPr>
          <w:szCs w:val="22"/>
          <w:lang w:val="es-ES_tradnl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812"/>
      </w:tblGrid>
      <w:tr w:rsidR="00852A85" w:rsidRPr="00A71978" w14:paraId="2FE082B2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5735718A" w14:textId="77777777" w:rsidR="00852A85" w:rsidRPr="00A20335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N° de Operación</w:t>
            </w:r>
          </w:p>
        </w:tc>
        <w:tc>
          <w:tcPr>
            <w:tcW w:w="5812" w:type="dxa"/>
            <w:vAlign w:val="center"/>
          </w:tcPr>
          <w:p w14:paraId="3851A981" w14:textId="77777777" w:rsidR="00852A85" w:rsidRPr="00A71978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Número de la subasta</w:t>
            </w:r>
            <w:r w:rsidRPr="00A71978" w:rsidDel="009F1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50E" w:rsidRPr="00A71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50E" w:rsidRPr="00A71978">
              <w:rPr>
                <w:rFonts w:ascii="Arial" w:hAnsi="Arial" w:cs="Arial"/>
                <w:color w:val="A6A6A6"/>
                <w:sz w:val="20"/>
                <w:szCs w:val="20"/>
              </w:rPr>
              <w:t>u operación directa</w:t>
            </w:r>
          </w:p>
        </w:tc>
      </w:tr>
      <w:tr w:rsidR="00852A85" w:rsidRPr="00A71978" w14:paraId="79A5A016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5302AF6B" w14:textId="77777777" w:rsidR="00852A85" w:rsidRPr="00A20335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Modalidad</w:t>
            </w:r>
          </w:p>
        </w:tc>
        <w:tc>
          <w:tcPr>
            <w:tcW w:w="5812" w:type="dxa"/>
            <w:vAlign w:val="center"/>
          </w:tcPr>
          <w:p w14:paraId="29108406" w14:textId="77777777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Subasta o Directa</w:t>
            </w:r>
          </w:p>
        </w:tc>
      </w:tr>
      <w:tr w:rsidR="00852A85" w:rsidRPr="00A71978" w14:paraId="59E151C3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61FB57E3" w14:textId="77777777" w:rsidR="00852A85" w:rsidRPr="00A20335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Esquema</w:t>
            </w:r>
          </w:p>
        </w:tc>
        <w:tc>
          <w:tcPr>
            <w:tcW w:w="5812" w:type="dxa"/>
            <w:vAlign w:val="center"/>
          </w:tcPr>
          <w:p w14:paraId="02678EE3" w14:textId="262A4279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General</w:t>
            </w:r>
            <w:r w:rsidR="00353D96" w:rsidRPr="00A71978">
              <w:rPr>
                <w:rFonts w:ascii="Arial" w:hAnsi="Arial" w:cs="Arial"/>
                <w:color w:val="A6A6A6"/>
                <w:sz w:val="20"/>
                <w:szCs w:val="20"/>
              </w:rPr>
              <w:t>,</w:t>
            </w: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 xml:space="preserve"> Alternativo</w:t>
            </w:r>
            <w:r w:rsidR="00803707" w:rsidRPr="00A71978">
              <w:rPr>
                <w:rFonts w:ascii="Arial" w:hAnsi="Arial" w:cs="Arial"/>
                <w:color w:val="A6A6A6"/>
                <w:sz w:val="20"/>
                <w:szCs w:val="20"/>
              </w:rPr>
              <w:t>,</w:t>
            </w:r>
          </w:p>
        </w:tc>
      </w:tr>
      <w:tr w:rsidR="00083F06" w:rsidRPr="00A71978" w14:paraId="562F02A7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5C8A9631" w14:textId="4154DA54" w:rsidR="00083F06" w:rsidRPr="00A20335" w:rsidRDefault="00083F06" w:rsidP="003975D4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Re</w:t>
            </w:r>
            <w:r w:rsidR="003975D4" w:rsidRPr="00A20335">
              <w:rPr>
                <w:rFonts w:ascii="Arial" w:hAnsi="Arial" w:cs="Arial"/>
                <w:sz w:val="20"/>
                <w:szCs w:val="20"/>
              </w:rPr>
              <w:t>programación</w:t>
            </w:r>
            <w:r w:rsidRPr="00A20335">
              <w:rPr>
                <w:rFonts w:ascii="Arial" w:hAnsi="Arial" w:cs="Arial"/>
                <w:sz w:val="20"/>
                <w:szCs w:val="20"/>
                <w:lang w:val="es-PE"/>
              </w:rPr>
              <w:t xml:space="preserve"> de Cartera</w:t>
            </w:r>
          </w:p>
        </w:tc>
        <w:tc>
          <w:tcPr>
            <w:tcW w:w="5812" w:type="dxa"/>
            <w:vAlign w:val="center"/>
          </w:tcPr>
          <w:p w14:paraId="4BB0BC27" w14:textId="19D559BD" w:rsidR="00AF5D2E" w:rsidRPr="00A71978" w:rsidRDefault="00AF5D2E" w:rsidP="00DF3768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033541">
              <w:rPr>
                <w:rFonts w:ascii="Arial" w:hAnsi="Arial" w:cs="Arial"/>
                <w:color w:val="A6A6A6"/>
                <w:sz w:val="20"/>
                <w:szCs w:val="20"/>
              </w:rPr>
              <w:t>Si</w:t>
            </w:r>
            <w:r w:rsidR="00DF3768">
              <w:rPr>
                <w:rFonts w:ascii="Arial" w:hAnsi="Arial" w:cs="Arial"/>
                <w:color w:val="A6A6A6"/>
                <w:sz w:val="20"/>
                <w:szCs w:val="20"/>
              </w:rPr>
              <w:t xml:space="preserve"> </w:t>
            </w:r>
            <w:r w:rsidR="00033541" w:rsidRPr="00033541">
              <w:rPr>
                <w:rFonts w:ascii="Arial" w:hAnsi="Arial" w:cs="Arial"/>
                <w:color w:val="A6A6A6"/>
                <w:sz w:val="20"/>
                <w:szCs w:val="20"/>
              </w:rPr>
              <w:t xml:space="preserve">o </w:t>
            </w:r>
            <w:r w:rsidRPr="00033541">
              <w:rPr>
                <w:rFonts w:ascii="Arial" w:hAnsi="Arial" w:cs="Arial"/>
                <w:color w:val="A6A6A6"/>
                <w:sz w:val="20"/>
                <w:szCs w:val="20"/>
              </w:rPr>
              <w:t>No</w:t>
            </w:r>
          </w:p>
        </w:tc>
      </w:tr>
      <w:tr w:rsidR="00852A85" w:rsidRPr="00A71978" w14:paraId="51C17BF2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340A81A1" w14:textId="7457CA5F" w:rsidR="00852A85" w:rsidRPr="00A20335" w:rsidRDefault="00852A85" w:rsidP="00A20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Fecha de Venta</w:t>
            </w:r>
            <w:r w:rsidR="00A71978" w:rsidRPr="00A20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504" w:rsidRPr="00A20335">
              <w:rPr>
                <w:rFonts w:ascii="Arial" w:hAnsi="Arial" w:cs="Arial"/>
                <w:sz w:val="20"/>
                <w:szCs w:val="20"/>
              </w:rPr>
              <w:t>(</w:t>
            </w:r>
            <w:r w:rsidR="009E6A14" w:rsidRPr="00A20335">
              <w:rPr>
                <w:rFonts w:ascii="Arial" w:hAnsi="Arial" w:cs="Arial"/>
                <w:sz w:val="20"/>
                <w:szCs w:val="20"/>
              </w:rPr>
              <w:t>Negociación</w:t>
            </w:r>
            <w:r w:rsidR="00676504" w:rsidRPr="00A203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121BDB87" w14:textId="3E44F07A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proofErr w:type="spellStart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dd</w:t>
            </w:r>
            <w:proofErr w:type="spellEnd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-mm-</w:t>
            </w:r>
            <w:proofErr w:type="spellStart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  <w:tr w:rsidR="001B543B" w:rsidRPr="00A71978" w14:paraId="046102F2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06BCCBB5" w14:textId="4E0EDF21" w:rsidR="001B543B" w:rsidRPr="00A20335" w:rsidRDefault="001B543B" w:rsidP="00A7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Fecha de Liquidación de  Venta</w:t>
            </w:r>
            <w:r w:rsidR="00A71978" w:rsidRPr="00A20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504" w:rsidRPr="00A20335">
              <w:rPr>
                <w:rFonts w:ascii="Arial" w:hAnsi="Arial" w:cs="Arial"/>
                <w:sz w:val="20"/>
                <w:szCs w:val="20"/>
              </w:rPr>
              <w:t>(Desembolso)</w:t>
            </w:r>
          </w:p>
        </w:tc>
        <w:tc>
          <w:tcPr>
            <w:tcW w:w="5812" w:type="dxa"/>
            <w:vAlign w:val="center"/>
          </w:tcPr>
          <w:p w14:paraId="13DF9B99" w14:textId="75CA4DF6" w:rsidR="001B543B" w:rsidRPr="00A71978" w:rsidRDefault="001B543B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proofErr w:type="spellStart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dd</w:t>
            </w:r>
            <w:proofErr w:type="spellEnd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-mm-</w:t>
            </w:r>
            <w:proofErr w:type="spellStart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  <w:tr w:rsidR="00852A85" w:rsidRPr="00A71978" w14:paraId="771996FD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18BAA089" w14:textId="77777777" w:rsidR="00852A85" w:rsidRPr="00A20335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335">
              <w:rPr>
                <w:rFonts w:ascii="Arial" w:hAnsi="Arial" w:cs="Arial"/>
                <w:sz w:val="20"/>
                <w:szCs w:val="20"/>
              </w:rPr>
              <w:t>Fecha de Recompra</w:t>
            </w:r>
          </w:p>
        </w:tc>
        <w:tc>
          <w:tcPr>
            <w:tcW w:w="5812" w:type="dxa"/>
            <w:vAlign w:val="center"/>
          </w:tcPr>
          <w:p w14:paraId="4AAD5819" w14:textId="6D1DC7CE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proofErr w:type="spellStart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dd</w:t>
            </w:r>
            <w:proofErr w:type="spellEnd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-mm-</w:t>
            </w:r>
            <w:proofErr w:type="spellStart"/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  <w:tr w:rsidR="00852A85" w:rsidRPr="00A71978" w14:paraId="3091B081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2BC254EF" w14:textId="77777777" w:rsidR="00852A85" w:rsidRPr="00A71978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sz w:val="20"/>
                <w:szCs w:val="20"/>
              </w:rPr>
              <w:lastRenderedPageBreak/>
              <w:t>Porcentaje de desembolso</w:t>
            </w:r>
          </w:p>
        </w:tc>
        <w:tc>
          <w:tcPr>
            <w:tcW w:w="5812" w:type="dxa"/>
            <w:vAlign w:val="center"/>
          </w:tcPr>
          <w:p w14:paraId="59411363" w14:textId="77777777" w:rsidR="00852A85" w:rsidRPr="00A71978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Porcentaje con dos decimales</w:t>
            </w:r>
            <w:r w:rsidRPr="0040598A">
              <w:rPr>
                <w:rFonts w:ascii="Arial" w:hAnsi="Arial" w:cs="Arial"/>
                <w:color w:val="A6A6A6"/>
                <w:sz w:val="20"/>
                <w:szCs w:val="20"/>
              </w:rPr>
              <w:t xml:space="preserve"> </w:t>
            </w:r>
            <w:r w:rsidRPr="00030ABC">
              <w:rPr>
                <w:rFonts w:ascii="Arial" w:hAnsi="Arial" w:cs="Arial"/>
                <w:sz w:val="20"/>
                <w:szCs w:val="20"/>
              </w:rPr>
              <w:t>por ciento</w:t>
            </w:r>
          </w:p>
        </w:tc>
      </w:tr>
      <w:tr w:rsidR="00852A85" w:rsidRPr="00A71978" w14:paraId="65DF932C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602D2226" w14:textId="77777777" w:rsidR="00852A85" w:rsidRPr="00A71978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sz w:val="20"/>
                <w:szCs w:val="20"/>
              </w:rPr>
              <w:t>Monto Inicial (de venta)</w:t>
            </w:r>
          </w:p>
        </w:tc>
        <w:tc>
          <w:tcPr>
            <w:tcW w:w="5812" w:type="dxa"/>
            <w:vAlign w:val="center"/>
          </w:tcPr>
          <w:p w14:paraId="3E83EB1D" w14:textId="77777777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Unidades con dos decimales</w:t>
            </w:r>
          </w:p>
        </w:tc>
      </w:tr>
      <w:tr w:rsidR="00852A85" w:rsidRPr="00A71978" w14:paraId="1E659758" w14:textId="77777777" w:rsidTr="007B2944">
        <w:trPr>
          <w:trHeight w:val="474"/>
        </w:trPr>
        <w:tc>
          <w:tcPr>
            <w:tcW w:w="2977" w:type="dxa"/>
            <w:vAlign w:val="center"/>
          </w:tcPr>
          <w:p w14:paraId="4D1DDE71" w14:textId="77777777" w:rsidR="00852A85" w:rsidRPr="00A71978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sz w:val="20"/>
                <w:szCs w:val="20"/>
              </w:rPr>
              <w:t>Monto Final (de recompra)</w:t>
            </w:r>
          </w:p>
        </w:tc>
        <w:tc>
          <w:tcPr>
            <w:tcW w:w="5812" w:type="dxa"/>
            <w:vAlign w:val="center"/>
          </w:tcPr>
          <w:p w14:paraId="0DEB7EA1" w14:textId="77777777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Unidades con dos decimales</w:t>
            </w:r>
          </w:p>
        </w:tc>
      </w:tr>
      <w:tr w:rsidR="00BC650E" w:rsidRPr="00A71978" w14:paraId="55983E54" w14:textId="77777777" w:rsidTr="00F71D0A">
        <w:trPr>
          <w:trHeight w:val="47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A6BCEEE" w14:textId="77777777" w:rsidR="00BC650E" w:rsidRPr="00A71978" w:rsidRDefault="00BC650E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sz w:val="20"/>
                <w:szCs w:val="20"/>
              </w:rPr>
              <w:t>Tasa de Interés</w:t>
            </w:r>
            <w:r w:rsidR="00F71D0A" w:rsidRPr="00A71978">
              <w:rPr>
                <w:rFonts w:ascii="Arial" w:hAnsi="Arial" w:cs="Arial"/>
                <w:sz w:val="20"/>
                <w:szCs w:val="20"/>
              </w:rPr>
              <w:t xml:space="preserve"> /1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4EE50A2" w14:textId="77777777" w:rsidR="00BC650E" w:rsidRPr="00A71978" w:rsidRDefault="00BC650E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Porcentaje con dos decimales</w:t>
            </w:r>
            <w:r w:rsidRPr="0040598A">
              <w:rPr>
                <w:rFonts w:ascii="Arial" w:hAnsi="Arial" w:cs="Arial"/>
                <w:color w:val="A6A6A6"/>
                <w:sz w:val="20"/>
                <w:szCs w:val="20"/>
              </w:rPr>
              <w:t xml:space="preserve"> </w:t>
            </w:r>
            <w:r w:rsidRPr="00030ABC">
              <w:rPr>
                <w:rFonts w:ascii="Arial" w:hAnsi="Arial" w:cs="Arial"/>
                <w:sz w:val="20"/>
                <w:szCs w:val="20"/>
              </w:rPr>
              <w:t>por ciento</w:t>
            </w:r>
          </w:p>
        </w:tc>
      </w:tr>
      <w:tr w:rsidR="00852A85" w:rsidRPr="00A71978" w14:paraId="2E547BF6" w14:textId="77777777" w:rsidTr="00F71D0A">
        <w:trPr>
          <w:trHeight w:val="47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9BF06F" w14:textId="77777777" w:rsidR="00852A85" w:rsidRPr="00A71978" w:rsidRDefault="00852A85" w:rsidP="00083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78">
              <w:rPr>
                <w:rFonts w:ascii="Arial" w:hAnsi="Arial" w:cs="Arial"/>
                <w:sz w:val="20"/>
                <w:szCs w:val="20"/>
              </w:rPr>
              <w:t>Tipo de cambio (si aplica)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563BCF3" w14:textId="77777777" w:rsidR="00852A85" w:rsidRPr="00A71978" w:rsidRDefault="00852A85" w:rsidP="00083F06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color w:val="A6A6A6"/>
                <w:sz w:val="20"/>
                <w:szCs w:val="20"/>
              </w:rPr>
              <w:t>Unidades con cuatro decimales</w:t>
            </w:r>
          </w:p>
        </w:tc>
      </w:tr>
      <w:tr w:rsidR="00F71D0A" w:rsidRPr="00A71978" w14:paraId="610495D7" w14:textId="77777777" w:rsidTr="00F71D0A">
        <w:trPr>
          <w:trHeight w:val="474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4635B" w14:textId="77777777" w:rsidR="00F71D0A" w:rsidRPr="00A71978" w:rsidRDefault="00F71D0A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71978">
              <w:rPr>
                <w:rFonts w:ascii="Arial" w:hAnsi="Arial" w:cs="Arial"/>
                <w:sz w:val="20"/>
                <w:szCs w:val="20"/>
              </w:rPr>
              <w:t xml:space="preserve">1/ Si hay más de una postura, se </w:t>
            </w:r>
            <w:r w:rsidR="00A978DA" w:rsidRPr="00A71978">
              <w:rPr>
                <w:rFonts w:ascii="Arial" w:hAnsi="Arial" w:cs="Arial"/>
                <w:sz w:val="20"/>
                <w:szCs w:val="20"/>
              </w:rPr>
              <w:t xml:space="preserve">calculará </w:t>
            </w:r>
            <w:r w:rsidRPr="00A71978">
              <w:rPr>
                <w:rFonts w:ascii="Arial" w:hAnsi="Arial" w:cs="Arial"/>
                <w:sz w:val="20"/>
                <w:szCs w:val="20"/>
              </w:rPr>
              <w:t>la tasa de interés implícita de la operación, sin redondearla</w:t>
            </w:r>
            <w:r w:rsidR="00A978DA" w:rsidRPr="00A71978">
              <w:rPr>
                <w:rFonts w:ascii="Arial" w:hAnsi="Arial" w:cs="Arial"/>
                <w:sz w:val="20"/>
                <w:szCs w:val="20"/>
              </w:rPr>
              <w:t xml:space="preserve">. La </w:t>
            </w:r>
            <w:r w:rsidRPr="00A71978">
              <w:rPr>
                <w:rFonts w:ascii="Arial" w:hAnsi="Arial" w:cs="Arial"/>
                <w:sz w:val="20"/>
                <w:szCs w:val="20"/>
              </w:rPr>
              <w:t>Cuenta de Depósito Restringido</w:t>
            </w:r>
            <w:r w:rsidR="00A978DA" w:rsidRPr="00A71978">
              <w:rPr>
                <w:rFonts w:ascii="Arial" w:hAnsi="Arial" w:cs="Arial"/>
                <w:sz w:val="20"/>
                <w:szCs w:val="20"/>
              </w:rPr>
              <w:t xml:space="preserve"> será remunerada a dicha tasa</w:t>
            </w:r>
            <w:r w:rsidRPr="00A719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7F535A5" w14:textId="77777777" w:rsidR="00F71D0A" w:rsidRDefault="00F71D0A">
      <w:pPr>
        <w:pStyle w:val="Encabezado"/>
        <w:tabs>
          <w:tab w:val="clear" w:pos="4252"/>
          <w:tab w:val="clear" w:pos="8504"/>
        </w:tabs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 </w:t>
      </w:r>
    </w:p>
    <w:p w14:paraId="358048D2" w14:textId="5D5D2D8E" w:rsidR="006F2A74" w:rsidRPr="00A20335" w:rsidRDefault="00766360" w:rsidP="006F2A74">
      <w:pPr>
        <w:pStyle w:val="Encabezado"/>
        <w:jc w:val="both"/>
        <w:rPr>
          <w:szCs w:val="22"/>
          <w:lang w:val="es-ES_tradnl"/>
        </w:rPr>
      </w:pPr>
      <w:r>
        <w:rPr>
          <w:b/>
          <w:bCs/>
          <w:szCs w:val="22"/>
          <w:lang w:val="es-ES_tradnl"/>
        </w:rPr>
        <w:tab/>
      </w:r>
      <w:r w:rsidR="002F140D" w:rsidRPr="00A056B3">
        <w:rPr>
          <w:b/>
          <w:bCs/>
          <w:szCs w:val="22"/>
          <w:lang w:val="es-ES_tradnl"/>
        </w:rPr>
        <w:t>TERCERA</w:t>
      </w:r>
      <w:r w:rsidR="002F140D" w:rsidRPr="00A056B3">
        <w:rPr>
          <w:szCs w:val="22"/>
          <w:lang w:val="es-ES_tradnl"/>
        </w:rPr>
        <w:t>.-</w:t>
      </w:r>
      <w:r w:rsidR="008A42D5" w:rsidRPr="008A42D5">
        <w:rPr>
          <w:szCs w:val="22"/>
          <w:lang w:val="es-ES_tradnl"/>
        </w:rPr>
        <w:t xml:space="preserve"> </w:t>
      </w:r>
      <w:r w:rsidR="00542F73">
        <w:rPr>
          <w:szCs w:val="22"/>
          <w:lang w:val="es-ES_tradnl"/>
        </w:rPr>
        <w:t xml:space="preserve">Si la </w:t>
      </w:r>
      <w:r w:rsidR="008D08AB">
        <w:rPr>
          <w:szCs w:val="22"/>
          <w:lang w:val="es-ES_tradnl"/>
        </w:rPr>
        <w:t>presente O</w:t>
      </w:r>
      <w:r w:rsidR="00542F73">
        <w:rPr>
          <w:szCs w:val="22"/>
          <w:lang w:val="es-ES_tradnl"/>
        </w:rPr>
        <w:t xml:space="preserve">peración se lleva a cabo al </w:t>
      </w:r>
      <w:r w:rsidR="0081025D">
        <w:rPr>
          <w:szCs w:val="22"/>
          <w:lang w:val="es-ES_tradnl"/>
        </w:rPr>
        <w:t>a</w:t>
      </w:r>
      <w:r w:rsidR="00542F73">
        <w:rPr>
          <w:szCs w:val="22"/>
          <w:lang w:val="es-ES_tradnl"/>
        </w:rPr>
        <w:t>mparo de la Circular 0021-2020-BCRP o la que la sustituya, l</w:t>
      </w:r>
      <w:r w:rsidR="008A42D5">
        <w:rPr>
          <w:szCs w:val="22"/>
          <w:lang w:val="es-ES_tradnl"/>
        </w:rPr>
        <w:t>a E</w:t>
      </w:r>
      <w:r w:rsidR="0032059D">
        <w:rPr>
          <w:szCs w:val="22"/>
          <w:lang w:val="es-ES_tradnl"/>
        </w:rPr>
        <w:t>P</w:t>
      </w:r>
      <w:r w:rsidR="008A42D5">
        <w:rPr>
          <w:szCs w:val="22"/>
          <w:lang w:val="es-ES_tradnl"/>
        </w:rPr>
        <w:t xml:space="preserve"> manifi</w:t>
      </w:r>
      <w:bookmarkStart w:id="0" w:name="_GoBack"/>
      <w:bookmarkEnd w:id="0"/>
      <w:r w:rsidR="008A42D5">
        <w:rPr>
          <w:szCs w:val="22"/>
          <w:lang w:val="es-ES_tradnl"/>
        </w:rPr>
        <w:t>esta, con carácter de Declaración Jurada, haber reprogramado cartera de crédito de sus clientes o comprada a otras entidades financieras, por un monto</w:t>
      </w:r>
      <w:r w:rsidR="009D2891">
        <w:rPr>
          <w:szCs w:val="22"/>
          <w:lang w:val="es-ES_tradnl"/>
        </w:rPr>
        <w:t xml:space="preserve"> </w:t>
      </w:r>
      <w:r w:rsidR="008A42D5">
        <w:rPr>
          <w:szCs w:val="22"/>
          <w:lang w:val="es-ES_tradnl"/>
        </w:rPr>
        <w:t>igual o mayor al Monto Inicial establecido en la Cláusula Segunda de este Contrato Específico, y que</w:t>
      </w:r>
      <w:r w:rsidR="00BD4E8A" w:rsidRPr="00BD4E8A">
        <w:rPr>
          <w:szCs w:val="22"/>
        </w:rPr>
        <w:t xml:space="preserve"> </w:t>
      </w:r>
      <w:r w:rsidR="00BD4E8A" w:rsidRPr="005613DA">
        <w:rPr>
          <w:szCs w:val="22"/>
          <w:lang w:val="es-ES_tradnl"/>
        </w:rPr>
        <w:t>cada crédito reprogramado tiene un contrato suscrito por el cliente</w:t>
      </w:r>
      <w:r w:rsidR="00BD4E8A">
        <w:rPr>
          <w:szCs w:val="22"/>
          <w:lang w:val="es-ES_tradnl"/>
        </w:rPr>
        <w:t xml:space="preserve"> y</w:t>
      </w:r>
      <w:r w:rsidR="00BD4E8A" w:rsidRPr="005613DA">
        <w:rPr>
          <w:szCs w:val="22"/>
        </w:rPr>
        <w:t xml:space="preserve"> </w:t>
      </w:r>
      <w:r w:rsidR="00BD4E8A" w:rsidRPr="009D6665">
        <w:rPr>
          <w:szCs w:val="22"/>
        </w:rPr>
        <w:t>cumpl</w:t>
      </w:r>
      <w:r w:rsidR="00BD4E8A">
        <w:rPr>
          <w:szCs w:val="22"/>
        </w:rPr>
        <w:t>e</w:t>
      </w:r>
      <w:r w:rsidR="00BD4E8A" w:rsidRPr="009D6665">
        <w:rPr>
          <w:szCs w:val="22"/>
        </w:rPr>
        <w:t xml:space="preserve"> </w:t>
      </w:r>
      <w:r w:rsidR="008A42D5">
        <w:rPr>
          <w:szCs w:val="22"/>
          <w:lang w:val="es-ES_tradnl"/>
        </w:rPr>
        <w:t>con las condiciones previstas en el artículo 2 de la Circular N° 00</w:t>
      </w:r>
      <w:r w:rsidR="00CA1205">
        <w:rPr>
          <w:szCs w:val="22"/>
          <w:lang w:val="es-ES_tradnl"/>
        </w:rPr>
        <w:t>2</w:t>
      </w:r>
      <w:r w:rsidR="008A42D5">
        <w:rPr>
          <w:szCs w:val="22"/>
          <w:lang w:val="es-ES_tradnl"/>
        </w:rPr>
        <w:t>1-2020-BCRP</w:t>
      </w:r>
      <w:r w:rsidR="00256737">
        <w:rPr>
          <w:szCs w:val="22"/>
          <w:lang w:val="es-ES_tradnl"/>
        </w:rPr>
        <w:t xml:space="preserve"> y de la respectiva convocatoria</w:t>
      </w:r>
      <w:r w:rsidR="008A42D5">
        <w:rPr>
          <w:szCs w:val="22"/>
          <w:lang w:val="es-ES_tradnl"/>
        </w:rPr>
        <w:t xml:space="preserve">, conforme se detalla en </w:t>
      </w:r>
      <w:r w:rsidR="00444E98">
        <w:rPr>
          <w:szCs w:val="22"/>
          <w:lang w:val="es-ES_tradnl"/>
        </w:rPr>
        <w:t>la Declaración J</w:t>
      </w:r>
      <w:r w:rsidR="00083F06">
        <w:rPr>
          <w:szCs w:val="22"/>
          <w:lang w:val="es-ES_tradnl"/>
        </w:rPr>
        <w:t>urada</w:t>
      </w:r>
      <w:r w:rsidR="008A42D5">
        <w:rPr>
          <w:szCs w:val="22"/>
          <w:lang w:val="es-ES_tradnl"/>
        </w:rPr>
        <w:t xml:space="preserve"> que integra y forma parte del presente Contrato Específico</w:t>
      </w:r>
      <w:r w:rsidR="008A42D5" w:rsidRPr="00A20335">
        <w:rPr>
          <w:szCs w:val="22"/>
          <w:lang w:val="es-ES_tradnl"/>
        </w:rPr>
        <w:t xml:space="preserve">. </w:t>
      </w:r>
      <w:r w:rsidR="00444E98" w:rsidRPr="00A20335">
        <w:rPr>
          <w:szCs w:val="22"/>
          <w:lang w:val="es-ES_tradnl"/>
        </w:rPr>
        <w:t>La Declaración</w:t>
      </w:r>
      <w:r w:rsidR="001D4C86" w:rsidRPr="00A20335">
        <w:rPr>
          <w:szCs w:val="22"/>
          <w:lang w:val="es-ES_tradnl"/>
        </w:rPr>
        <w:t xml:space="preserve"> Jurada</w:t>
      </w:r>
      <w:r w:rsidR="00F004DA" w:rsidRPr="00A20335">
        <w:rPr>
          <w:szCs w:val="22"/>
          <w:lang w:val="es-ES_tradnl"/>
        </w:rPr>
        <w:t xml:space="preserve">, </w:t>
      </w:r>
      <w:r w:rsidR="001D4C86" w:rsidRPr="00A20335">
        <w:rPr>
          <w:szCs w:val="22"/>
          <w:lang w:val="es-ES_tradnl"/>
        </w:rPr>
        <w:t xml:space="preserve">publicada en el Portal </w:t>
      </w:r>
      <w:r w:rsidR="00A71978" w:rsidRPr="00A20335">
        <w:rPr>
          <w:szCs w:val="22"/>
          <w:lang w:val="es-ES_tradnl"/>
        </w:rPr>
        <w:t>W</w:t>
      </w:r>
      <w:r w:rsidR="00437C40" w:rsidRPr="00A20335">
        <w:rPr>
          <w:szCs w:val="22"/>
          <w:lang w:val="es-ES_tradnl"/>
        </w:rPr>
        <w:t>eb</w:t>
      </w:r>
      <w:r w:rsidR="00444E98" w:rsidRPr="00A20335">
        <w:rPr>
          <w:szCs w:val="22"/>
          <w:lang w:val="es-ES_tradnl"/>
        </w:rPr>
        <w:t xml:space="preserve"> del Banco Central, debe ser enviada al BCRP en formato Excel al correo del Departamento de Liquidación y Control de Operaciones Internas </w:t>
      </w:r>
      <w:hyperlink r:id="rId8" w:history="1">
        <w:r w:rsidR="00444E98" w:rsidRPr="00A20335">
          <w:rPr>
            <w:rStyle w:val="Hipervnculo"/>
            <w:szCs w:val="22"/>
            <w:lang w:val="es-ES_tradnl"/>
          </w:rPr>
          <w:t>Dpto.RegistroLiqConOpeInt@bcrp.gob.pe</w:t>
        </w:r>
      </w:hyperlink>
      <w:r w:rsidR="00444E98" w:rsidRPr="00A20335">
        <w:rPr>
          <w:szCs w:val="22"/>
          <w:lang w:val="es-ES_tradnl"/>
        </w:rPr>
        <w:t xml:space="preserve"> o a través del SIBFTP cuando el BCRP lo indique. </w:t>
      </w:r>
      <w:r w:rsidR="006F2A74" w:rsidRPr="00A20335">
        <w:rPr>
          <w:szCs w:val="22"/>
          <w:lang w:val="es-ES_tradnl"/>
        </w:rPr>
        <w:t>La Declaración Jurada en formato Excel tiene el siguiente nombre:</w:t>
      </w:r>
    </w:p>
    <w:p w14:paraId="15766899" w14:textId="77777777" w:rsidR="006F2A74" w:rsidRPr="00A20335" w:rsidRDefault="006F2A74" w:rsidP="006F2A74">
      <w:pPr>
        <w:pStyle w:val="Encabezado"/>
        <w:jc w:val="both"/>
        <w:rPr>
          <w:szCs w:val="22"/>
          <w:lang w:val="es-ES_tradnl"/>
        </w:rPr>
      </w:pPr>
    </w:p>
    <w:p w14:paraId="7A9773EB" w14:textId="445A3C66" w:rsidR="006F2A74" w:rsidRPr="00A20335" w:rsidRDefault="006F2A74" w:rsidP="006F2A74">
      <w:pPr>
        <w:pStyle w:val="Encabezado"/>
        <w:jc w:val="center"/>
        <w:rPr>
          <w:szCs w:val="22"/>
          <w:lang w:val="es-ES_tradnl"/>
        </w:rPr>
      </w:pPr>
      <w:r w:rsidRPr="00A20335">
        <w:rPr>
          <w:szCs w:val="22"/>
          <w:lang w:val="es-ES_tradnl"/>
        </w:rPr>
        <w:t>DJ-REP-CAR-[CODIGO ENTIDAD]-[N° OPERACIÓN].xlsx</w:t>
      </w:r>
    </w:p>
    <w:p w14:paraId="1F47035F" w14:textId="2D0BEAB6" w:rsidR="006F2A74" w:rsidRDefault="006F2A74" w:rsidP="006F2A74">
      <w:pPr>
        <w:pStyle w:val="Encabezado"/>
        <w:ind w:left="284"/>
        <w:jc w:val="center"/>
        <w:rPr>
          <w:szCs w:val="22"/>
          <w:lang w:val="es-PE"/>
        </w:rPr>
      </w:pPr>
      <w:r w:rsidRPr="00A77700">
        <w:rPr>
          <w:szCs w:val="22"/>
          <w:lang w:val="es-PE"/>
        </w:rPr>
        <w:t>DJ-REP-CAR-[000#]-[000#].xlsx</w:t>
      </w:r>
    </w:p>
    <w:p w14:paraId="1BCE061D" w14:textId="77777777" w:rsidR="00A77700" w:rsidRDefault="00A77700" w:rsidP="006F2A74">
      <w:pPr>
        <w:pStyle w:val="Encabezado"/>
        <w:ind w:left="284"/>
        <w:jc w:val="center"/>
        <w:rPr>
          <w:color w:val="FF0000"/>
          <w:szCs w:val="22"/>
          <w:lang w:val="es-PE"/>
        </w:rPr>
      </w:pPr>
    </w:p>
    <w:p w14:paraId="459DD054" w14:textId="77777777" w:rsidR="00AF164E" w:rsidRDefault="00AF164E" w:rsidP="00AF16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créditos reprogramados a que se refiere la Circular 021-2020-BCRP no deben corresponder a los Directores o trabajadores del Banco Central. </w:t>
      </w:r>
    </w:p>
    <w:p w14:paraId="524E0BE5" w14:textId="77777777" w:rsidR="00AF164E" w:rsidRDefault="00AF164E" w:rsidP="00AF164E">
      <w:pPr>
        <w:jc w:val="both"/>
        <w:rPr>
          <w:rFonts w:ascii="Arial" w:hAnsi="Arial" w:cs="Arial"/>
          <w:sz w:val="22"/>
          <w:szCs w:val="22"/>
          <w:lang w:eastAsia="es-PE"/>
        </w:rPr>
      </w:pPr>
    </w:p>
    <w:p w14:paraId="172B20D1" w14:textId="77777777" w:rsidR="00AF164E" w:rsidRDefault="00AF164E" w:rsidP="00AF164E">
      <w:pPr>
        <w:jc w:val="both"/>
        <w:rPr>
          <w:rFonts w:ascii="Calibri" w:hAnsi="Calibri" w:cs="Calibri"/>
          <w:sz w:val="22"/>
          <w:szCs w:val="22"/>
          <w:lang w:val="es-PE" w:eastAsia="es-PE"/>
        </w:rPr>
      </w:pPr>
      <w:r>
        <w:rPr>
          <w:rFonts w:ascii="Arial" w:hAnsi="Arial" w:cs="Arial"/>
          <w:sz w:val="22"/>
          <w:szCs w:val="22"/>
        </w:rPr>
        <w:t>La EP es responsable de que las operaciones que canaliza bajo la Circular 021-2020-BCRP no contravienen alguna norma vigente o contrato al que esté vinculada, liberando al Banco Central de toda responsabilidad. Asimismo, la EP</w:t>
      </w:r>
      <w:r>
        <w:rPr>
          <w:rStyle w:val="nfasis"/>
          <w:rFonts w:ascii="Arial" w:hAnsi="Arial" w:cs="Arial"/>
          <w:i w:val="0"/>
          <w:iCs w:val="0"/>
          <w:sz w:val="22"/>
          <w:szCs w:val="22"/>
        </w:rPr>
        <w:t> es responsable de la veracidad y exactitud de la información que sustenta la Operación que regula el presente Contrato Específico;  y</w:t>
      </w:r>
      <w:r>
        <w:rPr>
          <w:rStyle w:val="apple-converted-space"/>
          <w:rFonts w:ascii="Arial" w:hAnsi="Arial" w:cs="Arial"/>
          <w:sz w:val="22"/>
          <w:szCs w:val="22"/>
        </w:rPr>
        <w:t> de </w:t>
      </w:r>
      <w:r>
        <w:rPr>
          <w:rFonts w:ascii="Arial" w:hAnsi="Arial" w:cs="Arial"/>
          <w:sz w:val="22"/>
          <w:szCs w:val="22"/>
        </w:rPr>
        <w:t>cualquier declaración falsa o inexacta, fraude o simulación que genere responsabilidad civil o penal, así como las sanciones a que hubiere lugar.</w:t>
      </w:r>
    </w:p>
    <w:p w14:paraId="6256713D" w14:textId="77777777" w:rsidR="00F64A73" w:rsidRDefault="00F64A73" w:rsidP="00FE2FFE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78A22B2" w14:textId="0C586609" w:rsidR="00766360" w:rsidRPr="00676504" w:rsidRDefault="008A42D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A77700">
        <w:rPr>
          <w:rFonts w:ascii="Arial" w:hAnsi="Arial" w:cs="Arial"/>
          <w:b/>
          <w:sz w:val="22"/>
          <w:szCs w:val="22"/>
          <w:lang w:val="es-PE"/>
        </w:rPr>
        <w:t>CUARTA</w:t>
      </w:r>
      <w:r w:rsidR="004F21F2" w:rsidRPr="00A77700">
        <w:rPr>
          <w:szCs w:val="22"/>
          <w:lang w:val="es-PE"/>
        </w:rPr>
        <w:t xml:space="preserve">.- </w:t>
      </w:r>
      <w:r w:rsidR="00B67154" w:rsidRPr="00676504">
        <w:rPr>
          <w:rFonts w:ascii="Arial" w:hAnsi="Arial" w:cs="Arial"/>
          <w:sz w:val="22"/>
          <w:szCs w:val="20"/>
          <w:lang w:val="es-ES_tradnl"/>
        </w:rPr>
        <w:t>P</w:t>
      </w:r>
      <w:r w:rsidR="002F140D" w:rsidRPr="00676504">
        <w:rPr>
          <w:rFonts w:ascii="Arial" w:hAnsi="Arial" w:cs="Arial"/>
          <w:sz w:val="22"/>
          <w:szCs w:val="20"/>
          <w:lang w:val="es-ES_tradnl"/>
        </w:rPr>
        <w:t>revio al desembolso</w:t>
      </w:r>
      <w:r w:rsidR="007D091B" w:rsidRPr="00676504">
        <w:rPr>
          <w:rFonts w:ascii="Arial" w:hAnsi="Arial" w:cs="Arial"/>
          <w:sz w:val="22"/>
          <w:szCs w:val="20"/>
          <w:lang w:val="es-ES_tradnl"/>
        </w:rPr>
        <w:t>,</w:t>
      </w:r>
      <w:r w:rsidR="002F140D" w:rsidRPr="00676504">
        <w:rPr>
          <w:rFonts w:ascii="Arial" w:hAnsi="Arial" w:cs="Arial"/>
          <w:sz w:val="22"/>
          <w:szCs w:val="20"/>
          <w:lang w:val="es-ES_tradnl"/>
        </w:rPr>
        <w:t xml:space="preserve"> LA </w:t>
      </w:r>
      <w:r w:rsidR="00420AC4" w:rsidRPr="00676504">
        <w:rPr>
          <w:rFonts w:ascii="Arial" w:hAnsi="Arial" w:cs="Arial"/>
          <w:sz w:val="22"/>
          <w:szCs w:val="20"/>
          <w:lang w:val="es-ES_tradnl"/>
        </w:rPr>
        <w:t xml:space="preserve">EP </w:t>
      </w:r>
      <w:r w:rsidR="002F140D" w:rsidRPr="00676504">
        <w:rPr>
          <w:rFonts w:ascii="Arial" w:hAnsi="Arial" w:cs="Arial"/>
          <w:sz w:val="22"/>
          <w:szCs w:val="20"/>
          <w:lang w:val="es-ES_tradnl"/>
        </w:rPr>
        <w:t xml:space="preserve">deberá </w:t>
      </w:r>
      <w:r w:rsidR="00DF5B17" w:rsidRPr="00676504">
        <w:rPr>
          <w:rFonts w:ascii="Arial" w:hAnsi="Arial" w:cs="Arial"/>
          <w:sz w:val="22"/>
          <w:szCs w:val="20"/>
          <w:lang w:val="es-ES_tradnl"/>
        </w:rPr>
        <w:t xml:space="preserve">haber </w:t>
      </w:r>
      <w:r w:rsidR="002F140D" w:rsidRPr="00676504">
        <w:rPr>
          <w:rFonts w:ascii="Arial" w:hAnsi="Arial" w:cs="Arial"/>
          <w:sz w:val="22"/>
          <w:szCs w:val="20"/>
          <w:lang w:val="es-ES_tradnl"/>
        </w:rPr>
        <w:t>entrega</w:t>
      </w:r>
      <w:r w:rsidR="00DF5B17" w:rsidRPr="00676504">
        <w:rPr>
          <w:rFonts w:ascii="Arial" w:hAnsi="Arial" w:cs="Arial"/>
          <w:sz w:val="22"/>
          <w:szCs w:val="20"/>
          <w:lang w:val="es-ES_tradnl"/>
        </w:rPr>
        <w:t>do</w:t>
      </w:r>
      <w:r w:rsidR="002F140D" w:rsidRPr="00676504">
        <w:rPr>
          <w:rFonts w:ascii="Arial" w:hAnsi="Arial" w:cs="Arial"/>
          <w:sz w:val="22"/>
          <w:szCs w:val="20"/>
          <w:lang w:val="es-ES_tradnl"/>
        </w:rPr>
        <w:t xml:space="preserve"> </w:t>
      </w:r>
      <w:r w:rsidR="00D42DE8" w:rsidRPr="00676504">
        <w:rPr>
          <w:rFonts w:ascii="Arial" w:hAnsi="Arial" w:cs="Arial"/>
          <w:sz w:val="22"/>
          <w:szCs w:val="20"/>
          <w:lang w:val="es-ES_tradnl"/>
        </w:rPr>
        <w:t xml:space="preserve">a EL </w:t>
      </w:r>
      <w:r w:rsidR="002F140D" w:rsidRPr="00676504">
        <w:rPr>
          <w:rFonts w:ascii="Arial" w:hAnsi="Arial" w:cs="Arial"/>
          <w:sz w:val="22"/>
          <w:szCs w:val="20"/>
          <w:lang w:val="es-ES_tradnl"/>
        </w:rPr>
        <w:t>BCRP los documentos a que se refiere la Cláusula Duodécima del Contrato Marco.</w:t>
      </w:r>
    </w:p>
    <w:p w14:paraId="2961C36F" w14:textId="77777777" w:rsidR="00766360" w:rsidRPr="00676504" w:rsidRDefault="00766360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F591A0" w14:textId="71CABEAD" w:rsidR="00B21001" w:rsidRDefault="00A77700">
      <w:pPr>
        <w:pStyle w:val="Textoindependiente3"/>
        <w:tabs>
          <w:tab w:val="left" w:pos="-1440"/>
          <w:tab w:val="left" w:pos="-720"/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QUINTA</w:t>
      </w:r>
      <w:r w:rsidR="004F21F2" w:rsidRPr="004F21F2">
        <w:rPr>
          <w:rFonts w:ascii="Times New Roman" w:hAnsi="Times New Roman"/>
          <w:sz w:val="24"/>
          <w:szCs w:val="22"/>
          <w:lang w:val="es-ES_tradnl"/>
        </w:rPr>
        <w:t>.-</w:t>
      </w:r>
      <w:r w:rsidR="004F21F2" w:rsidRPr="008A42D5">
        <w:rPr>
          <w:szCs w:val="22"/>
          <w:lang w:val="es-ES_tradnl"/>
        </w:rPr>
        <w:t xml:space="preserve"> </w:t>
      </w:r>
      <w:r w:rsidR="00B21001">
        <w:rPr>
          <w:rFonts w:ascii="Arial" w:hAnsi="Arial" w:cs="Arial"/>
          <w:b/>
          <w:szCs w:val="22"/>
        </w:rPr>
        <w:t xml:space="preserve"> </w:t>
      </w:r>
      <w:r w:rsidR="00B21001" w:rsidRPr="00A056B3">
        <w:rPr>
          <w:rFonts w:ascii="Arial" w:hAnsi="Arial" w:cs="Arial"/>
          <w:szCs w:val="22"/>
        </w:rPr>
        <w:t>Para efectos del presente contrato, LA E</w:t>
      </w:r>
      <w:r w:rsidR="00B21001">
        <w:rPr>
          <w:rFonts w:ascii="Arial" w:hAnsi="Arial" w:cs="Arial"/>
          <w:szCs w:val="22"/>
        </w:rPr>
        <w:t>P</w:t>
      </w:r>
      <w:r w:rsidR="00B21001" w:rsidRPr="00A056B3">
        <w:rPr>
          <w:rFonts w:ascii="Arial" w:hAnsi="Arial" w:cs="Arial"/>
          <w:szCs w:val="22"/>
        </w:rPr>
        <w:t xml:space="preserve"> declara haber otorgado poder por escritura pública a favor de EL BCRP,</w:t>
      </w:r>
      <w:r w:rsidR="002B065C">
        <w:rPr>
          <w:rFonts w:ascii="Arial" w:hAnsi="Arial" w:cs="Arial"/>
          <w:szCs w:val="22"/>
        </w:rPr>
        <w:t xml:space="preserve"> </w:t>
      </w:r>
      <w:r w:rsidR="00B21001" w:rsidRPr="00A056B3">
        <w:rPr>
          <w:rFonts w:ascii="Arial" w:hAnsi="Arial" w:cs="Arial"/>
          <w:szCs w:val="22"/>
        </w:rPr>
        <w:t>conforme a los términos establecidos en la Cláusula Sétima del Contrato Marco</w:t>
      </w:r>
      <w:r w:rsidR="00C16625">
        <w:rPr>
          <w:rFonts w:ascii="Arial" w:hAnsi="Arial" w:cs="Arial"/>
          <w:szCs w:val="22"/>
        </w:rPr>
        <w:t>.</w:t>
      </w:r>
    </w:p>
    <w:p w14:paraId="3CE08D8D" w14:textId="77777777" w:rsidR="00B21001" w:rsidRDefault="00B21001">
      <w:pPr>
        <w:pStyle w:val="Textoindependiente3"/>
        <w:tabs>
          <w:tab w:val="left" w:pos="-1440"/>
          <w:tab w:val="left" w:pos="-720"/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b/>
          <w:szCs w:val="22"/>
        </w:rPr>
      </w:pPr>
    </w:p>
    <w:p w14:paraId="0DA33FAE" w14:textId="30E22B3B" w:rsidR="0027354E" w:rsidRPr="00A056B3" w:rsidRDefault="0027354E">
      <w:pPr>
        <w:pStyle w:val="Textoindependiente3"/>
        <w:spacing w:line="240" w:lineRule="auto"/>
        <w:rPr>
          <w:rFonts w:ascii="Arial" w:hAnsi="Arial" w:cs="Arial"/>
          <w:szCs w:val="22"/>
        </w:rPr>
      </w:pPr>
      <w:r w:rsidRPr="00A056B3">
        <w:rPr>
          <w:rFonts w:ascii="Arial" w:hAnsi="Arial" w:cs="Arial"/>
          <w:szCs w:val="22"/>
        </w:rPr>
        <w:t xml:space="preserve">LA </w:t>
      </w:r>
      <w:r w:rsidR="00420AC4" w:rsidRPr="00A056B3">
        <w:rPr>
          <w:rFonts w:ascii="Arial" w:hAnsi="Arial" w:cs="Arial"/>
          <w:szCs w:val="22"/>
        </w:rPr>
        <w:t>E</w:t>
      </w:r>
      <w:r w:rsidR="00420AC4">
        <w:rPr>
          <w:rFonts w:ascii="Arial" w:hAnsi="Arial" w:cs="Arial"/>
          <w:szCs w:val="22"/>
        </w:rPr>
        <w:t>P</w:t>
      </w:r>
      <w:r w:rsidR="00420AC4" w:rsidRPr="00A056B3">
        <w:rPr>
          <w:rFonts w:ascii="Arial" w:hAnsi="Arial" w:cs="Arial"/>
          <w:szCs w:val="22"/>
        </w:rPr>
        <w:t xml:space="preserve"> </w:t>
      </w:r>
      <w:r w:rsidRPr="00A056B3">
        <w:rPr>
          <w:rFonts w:ascii="Arial" w:hAnsi="Arial" w:cs="Arial"/>
          <w:szCs w:val="22"/>
        </w:rPr>
        <w:t xml:space="preserve">se obliga a informar </w:t>
      </w:r>
      <w:r w:rsidR="00C16625">
        <w:rPr>
          <w:rFonts w:ascii="Arial" w:hAnsi="Arial" w:cs="Arial"/>
          <w:szCs w:val="22"/>
        </w:rPr>
        <w:t xml:space="preserve">inmediatamente </w:t>
      </w:r>
      <w:r w:rsidRPr="00A056B3">
        <w:rPr>
          <w:rFonts w:ascii="Arial" w:hAnsi="Arial" w:cs="Arial"/>
          <w:szCs w:val="22"/>
        </w:rPr>
        <w:t xml:space="preserve">a EL BCRP en caso </w:t>
      </w:r>
      <w:r w:rsidR="00C16625">
        <w:rPr>
          <w:rFonts w:ascii="Arial" w:hAnsi="Arial" w:cs="Arial"/>
          <w:szCs w:val="22"/>
        </w:rPr>
        <w:t xml:space="preserve">que </w:t>
      </w:r>
      <w:r w:rsidRPr="00A056B3">
        <w:rPr>
          <w:rFonts w:ascii="Arial" w:hAnsi="Arial" w:cs="Arial"/>
          <w:szCs w:val="22"/>
        </w:rPr>
        <w:t xml:space="preserve">alguno de los funcionarios </w:t>
      </w:r>
      <w:r w:rsidR="00285B5B">
        <w:rPr>
          <w:rFonts w:ascii="Arial" w:hAnsi="Arial" w:cs="Arial"/>
          <w:szCs w:val="22"/>
        </w:rPr>
        <w:t xml:space="preserve">a los que hace referencia </w:t>
      </w:r>
      <w:r w:rsidR="00285B5B" w:rsidRPr="00A056B3">
        <w:rPr>
          <w:rFonts w:ascii="Arial" w:hAnsi="Arial" w:cs="Arial"/>
          <w:szCs w:val="22"/>
        </w:rPr>
        <w:t>la Cláusula Sétima del Contrato Marco</w:t>
      </w:r>
      <w:r w:rsidR="00083F06">
        <w:rPr>
          <w:rFonts w:ascii="Arial" w:hAnsi="Arial" w:cs="Arial"/>
          <w:szCs w:val="22"/>
        </w:rPr>
        <w:t xml:space="preserve">, </w:t>
      </w:r>
      <w:r w:rsidR="00285B5B">
        <w:rPr>
          <w:rFonts w:ascii="Arial" w:hAnsi="Arial" w:cs="Arial"/>
          <w:szCs w:val="22"/>
        </w:rPr>
        <w:t>.</w:t>
      </w:r>
      <w:r w:rsidRPr="00A056B3">
        <w:rPr>
          <w:rFonts w:ascii="Arial" w:hAnsi="Arial" w:cs="Arial"/>
          <w:szCs w:val="22"/>
        </w:rPr>
        <w:t xml:space="preserve">dejara de ejercer el cargo </w:t>
      </w:r>
      <w:r w:rsidR="00C16625">
        <w:rPr>
          <w:rFonts w:ascii="Arial" w:hAnsi="Arial" w:cs="Arial"/>
          <w:szCs w:val="22"/>
        </w:rPr>
        <w:t xml:space="preserve">que se indica, </w:t>
      </w:r>
      <w:r w:rsidRPr="00A056B3">
        <w:rPr>
          <w:rFonts w:ascii="Arial" w:hAnsi="Arial" w:cs="Arial"/>
          <w:szCs w:val="22"/>
        </w:rPr>
        <w:t>a fin de que se efectúe la modificación de la presente cláusula.</w:t>
      </w:r>
    </w:p>
    <w:p w14:paraId="4ACEA770" w14:textId="77777777" w:rsidR="00E91BA1" w:rsidRDefault="00E91BA1">
      <w:pPr>
        <w:jc w:val="both"/>
        <w:rPr>
          <w:rFonts w:ascii="Arial" w:hAnsi="Arial" w:cs="Arial"/>
          <w:sz w:val="22"/>
          <w:szCs w:val="22"/>
        </w:rPr>
      </w:pPr>
    </w:p>
    <w:p w14:paraId="74FA5A7C" w14:textId="0FB9FD24" w:rsidR="00E91BA1" w:rsidRPr="00A056B3" w:rsidRDefault="00E25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</w:t>
      </w:r>
      <w:r w:rsidR="00A77700">
        <w:rPr>
          <w:rFonts w:ascii="Arial" w:hAnsi="Arial" w:cs="Arial"/>
          <w:b/>
          <w:sz w:val="22"/>
          <w:szCs w:val="22"/>
        </w:rPr>
        <w:t>XTA</w:t>
      </w:r>
      <w:r w:rsidR="00E91BA1" w:rsidRPr="00B01B47">
        <w:rPr>
          <w:rFonts w:ascii="Arial" w:hAnsi="Arial" w:cs="Arial"/>
          <w:sz w:val="22"/>
          <w:szCs w:val="22"/>
        </w:rPr>
        <w:t xml:space="preserve">.- En la eventualidad de un incumplimiento total o parcial de la Recompra, </w:t>
      </w:r>
      <w:r w:rsidR="004D57E0" w:rsidRPr="00B01B47">
        <w:rPr>
          <w:rFonts w:ascii="Arial" w:hAnsi="Arial" w:cs="Arial"/>
          <w:sz w:val="22"/>
          <w:szCs w:val="22"/>
        </w:rPr>
        <w:t xml:space="preserve">EL BCRP convocará a una subasta de </w:t>
      </w:r>
      <w:r w:rsidR="00AB5258" w:rsidRPr="00B01B47">
        <w:rPr>
          <w:rFonts w:ascii="Arial" w:hAnsi="Arial" w:cs="Arial"/>
          <w:sz w:val="22"/>
          <w:szCs w:val="22"/>
        </w:rPr>
        <w:t xml:space="preserve">los </w:t>
      </w:r>
      <w:r w:rsidR="00D42DE8">
        <w:rPr>
          <w:rFonts w:ascii="Arial" w:hAnsi="Arial" w:cs="Arial"/>
          <w:sz w:val="22"/>
          <w:szCs w:val="22"/>
        </w:rPr>
        <w:t>c</w:t>
      </w:r>
      <w:r w:rsidR="00AB5258" w:rsidRPr="00B01B47">
        <w:rPr>
          <w:rFonts w:ascii="Arial" w:hAnsi="Arial" w:cs="Arial"/>
          <w:sz w:val="22"/>
          <w:szCs w:val="22"/>
        </w:rPr>
        <w:t>réditos no recomprados</w:t>
      </w:r>
      <w:r w:rsidR="006A06C3" w:rsidRPr="00B01B47">
        <w:rPr>
          <w:rFonts w:ascii="Arial" w:hAnsi="Arial" w:cs="Arial"/>
          <w:sz w:val="22"/>
          <w:szCs w:val="22"/>
        </w:rPr>
        <w:t xml:space="preserve"> dentro de los dos meses siguientes a la </w:t>
      </w:r>
      <w:r w:rsidR="002C0E13" w:rsidRPr="00B01B47">
        <w:rPr>
          <w:rFonts w:ascii="Arial" w:hAnsi="Arial" w:cs="Arial"/>
          <w:sz w:val="22"/>
          <w:szCs w:val="22"/>
        </w:rPr>
        <w:t>F</w:t>
      </w:r>
      <w:r w:rsidR="006A06C3" w:rsidRPr="00B01B47">
        <w:rPr>
          <w:rFonts w:ascii="Arial" w:hAnsi="Arial" w:cs="Arial"/>
          <w:sz w:val="22"/>
          <w:szCs w:val="22"/>
        </w:rPr>
        <w:t xml:space="preserve">echa de </w:t>
      </w:r>
      <w:r w:rsidR="002C0E13" w:rsidRPr="00B01B47">
        <w:rPr>
          <w:rFonts w:ascii="Arial" w:hAnsi="Arial" w:cs="Arial"/>
          <w:sz w:val="22"/>
          <w:szCs w:val="22"/>
        </w:rPr>
        <w:t>R</w:t>
      </w:r>
      <w:r w:rsidR="006A06C3" w:rsidRPr="00B01B47">
        <w:rPr>
          <w:rFonts w:ascii="Arial" w:hAnsi="Arial" w:cs="Arial"/>
          <w:sz w:val="22"/>
          <w:szCs w:val="22"/>
        </w:rPr>
        <w:t>ecompra</w:t>
      </w:r>
      <w:r w:rsidR="004D57E0" w:rsidRPr="00B01B47">
        <w:rPr>
          <w:rFonts w:ascii="Arial" w:hAnsi="Arial" w:cs="Arial"/>
          <w:sz w:val="22"/>
          <w:szCs w:val="22"/>
        </w:rPr>
        <w:t xml:space="preserve">, invitando a participar a entidades del sistema </w:t>
      </w:r>
      <w:r w:rsidR="004D57E0" w:rsidRPr="00B01B47">
        <w:rPr>
          <w:rFonts w:ascii="Arial" w:hAnsi="Arial" w:cs="Arial"/>
          <w:sz w:val="22"/>
          <w:szCs w:val="22"/>
        </w:rPr>
        <w:lastRenderedPageBreak/>
        <w:t xml:space="preserve">financiero y otras que estime pertinente. El precio al que se adjudique la cartera será el precio </w:t>
      </w:r>
      <w:r w:rsidR="00AB5258" w:rsidRPr="00B01B47">
        <w:rPr>
          <w:rFonts w:ascii="Arial" w:hAnsi="Arial" w:cs="Arial"/>
          <w:sz w:val="22"/>
          <w:szCs w:val="22"/>
        </w:rPr>
        <w:t>a utilizar en la valorización a la que se refiere el numeral 15.5 de la Cláusula Décima Quinta del Contrato Marco.</w:t>
      </w:r>
      <w:r w:rsidR="004D57E0" w:rsidRPr="00B01B47">
        <w:rPr>
          <w:rFonts w:ascii="Arial" w:hAnsi="Arial" w:cs="Arial"/>
          <w:sz w:val="22"/>
          <w:szCs w:val="22"/>
        </w:rPr>
        <w:t xml:space="preserve"> Si, por cualquier razón, no pudiese llevarse a cabo la referida subasta</w:t>
      </w:r>
      <w:r w:rsidR="00AB5258" w:rsidRPr="00B01B47">
        <w:rPr>
          <w:rFonts w:ascii="Arial" w:hAnsi="Arial" w:cs="Arial"/>
          <w:sz w:val="22"/>
          <w:szCs w:val="22"/>
        </w:rPr>
        <w:t xml:space="preserve"> o si la subasta es declarada desierta</w:t>
      </w:r>
      <w:r w:rsidR="004D57E0" w:rsidRPr="00B01B47">
        <w:rPr>
          <w:rFonts w:ascii="Arial" w:hAnsi="Arial" w:cs="Arial"/>
          <w:sz w:val="22"/>
          <w:szCs w:val="22"/>
        </w:rPr>
        <w:t xml:space="preserve">, EL BCRP </w:t>
      </w:r>
      <w:r w:rsidR="00AB5258" w:rsidRPr="00B01B47">
        <w:rPr>
          <w:rFonts w:ascii="Arial" w:hAnsi="Arial" w:cs="Arial"/>
          <w:sz w:val="22"/>
          <w:szCs w:val="22"/>
        </w:rPr>
        <w:t xml:space="preserve">aplicará un precio de 70 por ciento </w:t>
      </w:r>
      <w:r w:rsidR="002C0E13" w:rsidRPr="00B01B47">
        <w:rPr>
          <w:rFonts w:ascii="Arial" w:hAnsi="Arial" w:cs="Arial"/>
          <w:sz w:val="22"/>
          <w:szCs w:val="22"/>
        </w:rPr>
        <w:t xml:space="preserve">del valor nominal a </w:t>
      </w:r>
      <w:r w:rsidR="00AB5258" w:rsidRPr="00B01B47">
        <w:rPr>
          <w:rFonts w:ascii="Arial" w:hAnsi="Arial" w:cs="Arial"/>
          <w:sz w:val="22"/>
          <w:szCs w:val="22"/>
        </w:rPr>
        <w:t xml:space="preserve">los </w:t>
      </w:r>
      <w:r w:rsidR="00D42DE8">
        <w:rPr>
          <w:rFonts w:ascii="Arial" w:hAnsi="Arial" w:cs="Arial"/>
          <w:sz w:val="22"/>
          <w:szCs w:val="22"/>
        </w:rPr>
        <w:t>c</w:t>
      </w:r>
      <w:r w:rsidR="00AB5258" w:rsidRPr="00B01B47">
        <w:rPr>
          <w:rFonts w:ascii="Arial" w:hAnsi="Arial" w:cs="Arial"/>
          <w:sz w:val="22"/>
          <w:szCs w:val="22"/>
        </w:rPr>
        <w:t>réditos no recomprados.</w:t>
      </w:r>
      <w:r w:rsidR="00E91BA1">
        <w:rPr>
          <w:rFonts w:ascii="Arial" w:hAnsi="Arial" w:cs="Arial"/>
          <w:sz w:val="22"/>
          <w:szCs w:val="22"/>
        </w:rPr>
        <w:t xml:space="preserve">  </w:t>
      </w:r>
    </w:p>
    <w:p w14:paraId="436E4F57" w14:textId="77777777" w:rsidR="00E91BA1" w:rsidRDefault="00E91BA1">
      <w:pPr>
        <w:jc w:val="both"/>
        <w:rPr>
          <w:rFonts w:ascii="Arial" w:hAnsi="Arial" w:cs="Arial"/>
          <w:sz w:val="22"/>
          <w:szCs w:val="22"/>
        </w:rPr>
      </w:pPr>
    </w:p>
    <w:p w14:paraId="79E6A607" w14:textId="77777777" w:rsidR="002F140D" w:rsidRPr="00A056B3" w:rsidRDefault="002F140D">
      <w:pPr>
        <w:jc w:val="both"/>
        <w:rPr>
          <w:rFonts w:ascii="Arial" w:hAnsi="Arial" w:cs="Arial"/>
          <w:sz w:val="22"/>
          <w:szCs w:val="22"/>
        </w:rPr>
      </w:pPr>
      <w:r w:rsidRPr="00A056B3">
        <w:rPr>
          <w:rFonts w:ascii="Arial" w:hAnsi="Arial" w:cs="Arial"/>
          <w:sz w:val="22"/>
          <w:szCs w:val="22"/>
        </w:rPr>
        <w:t>En señal de absoluta conformidad con los términos precedentes, se suscribe dos  ejemplares de igual valor.</w:t>
      </w:r>
    </w:p>
    <w:p w14:paraId="207C4A30" w14:textId="77777777" w:rsidR="002F140D" w:rsidRDefault="002F140D">
      <w:pPr>
        <w:jc w:val="both"/>
        <w:rPr>
          <w:rFonts w:ascii="Arial" w:hAnsi="Arial" w:cs="Arial"/>
          <w:sz w:val="22"/>
          <w:szCs w:val="22"/>
        </w:rPr>
      </w:pPr>
    </w:p>
    <w:p w14:paraId="5B36DFCA" w14:textId="77777777" w:rsidR="00FB4CC2" w:rsidRDefault="00FB4CC2">
      <w:pPr>
        <w:jc w:val="both"/>
        <w:rPr>
          <w:rFonts w:ascii="Arial" w:hAnsi="Arial" w:cs="Arial"/>
          <w:sz w:val="22"/>
          <w:szCs w:val="22"/>
        </w:rPr>
      </w:pPr>
    </w:p>
    <w:p w14:paraId="633425BE" w14:textId="77777777" w:rsidR="002F140D" w:rsidRPr="00A056B3" w:rsidRDefault="002F140D">
      <w:pPr>
        <w:jc w:val="both"/>
        <w:rPr>
          <w:rFonts w:ascii="Arial" w:hAnsi="Arial" w:cs="Arial"/>
          <w:sz w:val="22"/>
          <w:szCs w:val="22"/>
        </w:rPr>
      </w:pPr>
      <w:r w:rsidRPr="00A056B3">
        <w:rPr>
          <w:rFonts w:ascii="Arial" w:hAnsi="Arial" w:cs="Arial"/>
          <w:sz w:val="22"/>
          <w:szCs w:val="22"/>
        </w:rPr>
        <w:t xml:space="preserve">Lima, a </w:t>
      </w:r>
      <w:proofErr w:type="gramStart"/>
      <w:r w:rsidRPr="00A056B3">
        <w:rPr>
          <w:rFonts w:ascii="Arial" w:hAnsi="Arial" w:cs="Arial"/>
          <w:sz w:val="22"/>
          <w:szCs w:val="22"/>
        </w:rPr>
        <w:t>los ....</w:t>
      </w:r>
      <w:proofErr w:type="gramEnd"/>
      <w:r w:rsidRPr="00A056B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56B3">
        <w:rPr>
          <w:rFonts w:ascii="Arial" w:hAnsi="Arial" w:cs="Arial"/>
          <w:sz w:val="22"/>
          <w:szCs w:val="22"/>
        </w:rPr>
        <w:t>días</w:t>
      </w:r>
      <w:proofErr w:type="gramEnd"/>
      <w:r w:rsidRPr="00A056B3">
        <w:rPr>
          <w:rFonts w:ascii="Arial" w:hAnsi="Arial" w:cs="Arial"/>
          <w:sz w:val="22"/>
          <w:szCs w:val="22"/>
        </w:rPr>
        <w:t>... del mes de ........de 20</w:t>
      </w:r>
      <w:r w:rsidR="00122081">
        <w:rPr>
          <w:rFonts w:ascii="Arial" w:hAnsi="Arial" w:cs="Arial"/>
          <w:sz w:val="22"/>
          <w:szCs w:val="22"/>
        </w:rPr>
        <w:t>2</w:t>
      </w:r>
      <w:r w:rsidR="00A056B3">
        <w:rPr>
          <w:rFonts w:ascii="Arial" w:hAnsi="Arial" w:cs="Arial"/>
          <w:sz w:val="22"/>
          <w:szCs w:val="22"/>
        </w:rPr>
        <w:t>..</w:t>
      </w:r>
    </w:p>
    <w:p w14:paraId="7CEC283D" w14:textId="77777777" w:rsidR="00A626F5" w:rsidRPr="00A626F5" w:rsidRDefault="00A626F5">
      <w:pPr>
        <w:jc w:val="both"/>
        <w:rPr>
          <w:rFonts w:ascii="Arial" w:hAnsi="Arial" w:cs="Arial"/>
          <w:sz w:val="22"/>
          <w:szCs w:val="22"/>
        </w:rPr>
      </w:pPr>
    </w:p>
    <w:p w14:paraId="0AD0B894" w14:textId="77777777" w:rsidR="00A626F5" w:rsidRPr="00A626F5" w:rsidRDefault="00A626F5">
      <w:pPr>
        <w:jc w:val="both"/>
        <w:rPr>
          <w:rFonts w:ascii="Arial" w:hAnsi="Arial" w:cs="Arial"/>
          <w:sz w:val="22"/>
          <w:szCs w:val="22"/>
        </w:rPr>
      </w:pPr>
    </w:p>
    <w:p w14:paraId="0445C888" w14:textId="77777777" w:rsidR="00A626F5" w:rsidRPr="00A626F5" w:rsidRDefault="00A626F5">
      <w:pPr>
        <w:jc w:val="both"/>
        <w:rPr>
          <w:rFonts w:ascii="Arial" w:hAnsi="Arial" w:cs="Arial"/>
          <w:sz w:val="22"/>
          <w:szCs w:val="22"/>
        </w:rPr>
      </w:pPr>
      <w:r w:rsidRPr="00A626F5">
        <w:rPr>
          <w:rFonts w:ascii="Arial" w:hAnsi="Arial" w:cs="Arial"/>
          <w:sz w:val="22"/>
          <w:szCs w:val="22"/>
        </w:rPr>
        <w:t>……….................................................</w:t>
      </w:r>
      <w:r w:rsidRPr="00A626F5">
        <w:rPr>
          <w:rFonts w:ascii="Arial" w:hAnsi="Arial" w:cs="Arial"/>
          <w:sz w:val="22"/>
          <w:szCs w:val="22"/>
        </w:rPr>
        <w:tab/>
      </w:r>
      <w:r w:rsidRPr="00A626F5">
        <w:rPr>
          <w:rFonts w:ascii="Arial" w:hAnsi="Arial" w:cs="Arial"/>
          <w:sz w:val="22"/>
          <w:szCs w:val="22"/>
        </w:rPr>
        <w:tab/>
        <w:t>……..............................................</w:t>
      </w:r>
    </w:p>
    <w:p w14:paraId="042AB6D1" w14:textId="77777777" w:rsidR="00A626F5" w:rsidRPr="00A626F5" w:rsidRDefault="00A62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26F5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14:paraId="75B4263F" w14:textId="77777777" w:rsidR="00A626F5" w:rsidRPr="002B065C" w:rsidRDefault="00A626F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B065C">
        <w:rPr>
          <w:rFonts w:ascii="Arial" w:hAnsi="Arial" w:cs="Arial"/>
          <w:b/>
          <w:bCs/>
          <w:sz w:val="22"/>
          <w:szCs w:val="22"/>
        </w:rPr>
        <w:t>POR LA E</w:t>
      </w:r>
      <w:r w:rsidR="00420AC4" w:rsidRPr="002B065C">
        <w:rPr>
          <w:rFonts w:ascii="Arial" w:hAnsi="Arial" w:cs="Arial"/>
          <w:b/>
          <w:bCs/>
          <w:sz w:val="22"/>
          <w:szCs w:val="22"/>
        </w:rPr>
        <w:t>P</w:t>
      </w:r>
      <w:r w:rsidRPr="002B065C">
        <w:rPr>
          <w:rFonts w:ascii="Arial" w:hAnsi="Arial" w:cs="Arial"/>
          <w:b/>
          <w:bCs/>
          <w:sz w:val="22"/>
          <w:szCs w:val="22"/>
        </w:rPr>
        <w:tab/>
      </w:r>
      <w:r w:rsidRPr="002B065C">
        <w:rPr>
          <w:rFonts w:ascii="Arial" w:hAnsi="Arial" w:cs="Arial"/>
          <w:b/>
          <w:bCs/>
          <w:sz w:val="22"/>
          <w:szCs w:val="22"/>
        </w:rPr>
        <w:tab/>
      </w:r>
      <w:r w:rsidRPr="002B065C">
        <w:rPr>
          <w:rFonts w:ascii="Arial" w:hAnsi="Arial" w:cs="Arial"/>
          <w:b/>
          <w:bCs/>
          <w:sz w:val="22"/>
          <w:szCs w:val="22"/>
        </w:rPr>
        <w:tab/>
      </w:r>
      <w:r w:rsidRPr="002B065C">
        <w:rPr>
          <w:rFonts w:ascii="Arial" w:hAnsi="Arial" w:cs="Arial"/>
          <w:b/>
          <w:bCs/>
          <w:sz w:val="22"/>
          <w:szCs w:val="22"/>
        </w:rPr>
        <w:tab/>
      </w:r>
      <w:r w:rsidRPr="002B065C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1A2D59" w:rsidRPr="002B065C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2B065C">
        <w:rPr>
          <w:rFonts w:ascii="Arial" w:hAnsi="Arial" w:cs="Arial"/>
          <w:b/>
          <w:bCs/>
          <w:sz w:val="22"/>
          <w:szCs w:val="22"/>
        </w:rPr>
        <w:t xml:space="preserve"> POR LA </w:t>
      </w:r>
      <w:r w:rsidR="00420AC4" w:rsidRPr="002B065C">
        <w:rPr>
          <w:rFonts w:ascii="Arial" w:hAnsi="Arial" w:cs="Arial"/>
          <w:b/>
          <w:bCs/>
          <w:sz w:val="22"/>
          <w:szCs w:val="22"/>
        </w:rPr>
        <w:t>EP</w:t>
      </w:r>
    </w:p>
    <w:p w14:paraId="1B2C332E" w14:textId="77777777" w:rsidR="00A626F5" w:rsidRPr="00A626F5" w:rsidRDefault="00A62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065C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2B065C">
        <w:rPr>
          <w:rFonts w:ascii="Arial" w:hAnsi="Arial" w:cs="Arial"/>
          <w:b/>
          <w:bCs/>
          <w:sz w:val="22"/>
          <w:szCs w:val="22"/>
        </w:rPr>
        <w:t>nombres</w:t>
      </w:r>
      <w:proofErr w:type="gramEnd"/>
      <w:r w:rsidRPr="002B065C">
        <w:rPr>
          <w:rFonts w:ascii="Arial" w:hAnsi="Arial" w:cs="Arial"/>
          <w:b/>
          <w:bCs/>
          <w:sz w:val="22"/>
          <w:szCs w:val="22"/>
        </w:rPr>
        <w:t xml:space="preserve"> y apellidos)</w:t>
      </w:r>
      <w:r w:rsidRPr="002B065C">
        <w:rPr>
          <w:rFonts w:ascii="Arial" w:hAnsi="Arial" w:cs="Arial"/>
          <w:b/>
          <w:bCs/>
          <w:sz w:val="22"/>
          <w:szCs w:val="22"/>
        </w:rPr>
        <w:tab/>
      </w:r>
      <w:r w:rsidR="001A2D59" w:rsidRPr="002B065C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Pr="002B065C">
        <w:rPr>
          <w:rFonts w:ascii="Arial" w:hAnsi="Arial" w:cs="Arial"/>
          <w:b/>
          <w:bCs/>
          <w:sz w:val="22"/>
          <w:szCs w:val="22"/>
        </w:rPr>
        <w:t xml:space="preserve">     (</w:t>
      </w:r>
      <w:proofErr w:type="gramStart"/>
      <w:r w:rsidRPr="002B065C">
        <w:rPr>
          <w:rFonts w:ascii="Arial" w:hAnsi="Arial" w:cs="Arial"/>
          <w:b/>
          <w:bCs/>
          <w:sz w:val="22"/>
          <w:szCs w:val="22"/>
        </w:rPr>
        <w:t>nombres</w:t>
      </w:r>
      <w:proofErr w:type="gramEnd"/>
      <w:r w:rsidRPr="002B065C">
        <w:rPr>
          <w:rFonts w:ascii="Arial" w:hAnsi="Arial" w:cs="Arial"/>
          <w:b/>
          <w:bCs/>
          <w:sz w:val="22"/>
          <w:szCs w:val="22"/>
        </w:rPr>
        <w:t xml:space="preserve"> y apellidos)</w:t>
      </w:r>
    </w:p>
    <w:p w14:paraId="09B41B98" w14:textId="77777777" w:rsidR="00A626F5" w:rsidRDefault="00A626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934C51" w14:textId="77777777" w:rsidR="00A626F5" w:rsidRDefault="00A626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E39ECE" w14:textId="77777777" w:rsidR="00A626F5" w:rsidRDefault="00A626F5" w:rsidP="00A626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504DCF" w14:textId="77777777" w:rsidR="00A626F5" w:rsidRPr="00A626F5" w:rsidRDefault="00A626F5" w:rsidP="00A62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26F5">
        <w:rPr>
          <w:rFonts w:ascii="Arial" w:hAnsi="Arial" w:cs="Arial"/>
          <w:b/>
          <w:bCs/>
          <w:sz w:val="22"/>
          <w:szCs w:val="22"/>
        </w:rPr>
        <w:tab/>
      </w:r>
    </w:p>
    <w:p w14:paraId="44C5B32C" w14:textId="77777777" w:rsidR="00A626F5" w:rsidRPr="00A626F5" w:rsidRDefault="00A626F5" w:rsidP="00A626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7788EE" w14:textId="77777777" w:rsidR="00A626F5" w:rsidRPr="00A626F5" w:rsidRDefault="00A626F5" w:rsidP="00A626F5">
      <w:pPr>
        <w:jc w:val="both"/>
        <w:rPr>
          <w:rFonts w:ascii="Arial" w:hAnsi="Arial" w:cs="Arial"/>
          <w:sz w:val="22"/>
          <w:szCs w:val="22"/>
        </w:rPr>
      </w:pPr>
      <w:r w:rsidRPr="00A626F5">
        <w:rPr>
          <w:rFonts w:ascii="Arial" w:hAnsi="Arial" w:cs="Arial"/>
          <w:sz w:val="22"/>
          <w:szCs w:val="22"/>
        </w:rPr>
        <w:t>……….................................................</w:t>
      </w:r>
      <w:r w:rsidRPr="00A626F5">
        <w:rPr>
          <w:rFonts w:ascii="Arial" w:hAnsi="Arial" w:cs="Arial"/>
          <w:sz w:val="22"/>
          <w:szCs w:val="22"/>
        </w:rPr>
        <w:tab/>
      </w:r>
      <w:r w:rsidRPr="00A626F5">
        <w:rPr>
          <w:rFonts w:ascii="Arial" w:hAnsi="Arial" w:cs="Arial"/>
          <w:sz w:val="22"/>
          <w:szCs w:val="22"/>
        </w:rPr>
        <w:tab/>
        <w:t>……..............................................</w:t>
      </w:r>
    </w:p>
    <w:p w14:paraId="57CD0C85" w14:textId="77777777" w:rsidR="00A626F5" w:rsidRPr="00A626F5" w:rsidRDefault="00A626F5" w:rsidP="00A62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26F5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14:paraId="7066201B" w14:textId="77777777" w:rsidR="00A626F5" w:rsidRPr="00A626F5" w:rsidRDefault="00A626F5" w:rsidP="00A626F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626F5">
        <w:rPr>
          <w:rFonts w:ascii="Arial" w:hAnsi="Arial" w:cs="Arial"/>
          <w:b/>
          <w:bCs/>
          <w:sz w:val="22"/>
          <w:szCs w:val="22"/>
        </w:rPr>
        <w:t xml:space="preserve">      POR EL BCRP</w:t>
      </w:r>
      <w:r w:rsidRPr="00A626F5">
        <w:rPr>
          <w:rFonts w:ascii="Arial" w:hAnsi="Arial" w:cs="Arial"/>
          <w:b/>
          <w:bCs/>
          <w:sz w:val="22"/>
          <w:szCs w:val="22"/>
        </w:rPr>
        <w:tab/>
      </w:r>
      <w:r w:rsidRPr="00A626F5">
        <w:rPr>
          <w:rFonts w:ascii="Arial" w:hAnsi="Arial" w:cs="Arial"/>
          <w:b/>
          <w:bCs/>
          <w:sz w:val="22"/>
          <w:szCs w:val="22"/>
        </w:rPr>
        <w:tab/>
      </w:r>
      <w:r w:rsidRPr="00A626F5">
        <w:rPr>
          <w:rFonts w:ascii="Arial" w:hAnsi="Arial" w:cs="Arial"/>
          <w:b/>
          <w:bCs/>
          <w:sz w:val="22"/>
          <w:szCs w:val="22"/>
        </w:rPr>
        <w:tab/>
      </w:r>
      <w:r w:rsidRPr="00A626F5">
        <w:rPr>
          <w:rFonts w:ascii="Arial" w:hAnsi="Arial" w:cs="Arial"/>
          <w:b/>
          <w:bCs/>
          <w:sz w:val="22"/>
          <w:szCs w:val="22"/>
        </w:rPr>
        <w:tab/>
      </w:r>
      <w:r w:rsidRPr="00A626F5">
        <w:rPr>
          <w:rFonts w:ascii="Arial" w:hAnsi="Arial" w:cs="Arial"/>
          <w:b/>
          <w:bCs/>
          <w:sz w:val="22"/>
          <w:szCs w:val="22"/>
        </w:rPr>
        <w:tab/>
        <w:t xml:space="preserve">   POR EL BCRP</w:t>
      </w:r>
    </w:p>
    <w:p w14:paraId="18EAAB30" w14:textId="77777777" w:rsidR="00A626F5" w:rsidRPr="00A626F5" w:rsidRDefault="00A626F5" w:rsidP="00A62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26F5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A626F5">
        <w:rPr>
          <w:rFonts w:ascii="Arial" w:hAnsi="Arial" w:cs="Arial"/>
          <w:b/>
          <w:bCs/>
          <w:sz w:val="22"/>
          <w:szCs w:val="22"/>
        </w:rPr>
        <w:t>nombres</w:t>
      </w:r>
      <w:proofErr w:type="gramEnd"/>
      <w:r w:rsidRPr="00A626F5">
        <w:rPr>
          <w:rFonts w:ascii="Arial" w:hAnsi="Arial" w:cs="Arial"/>
          <w:b/>
          <w:bCs/>
          <w:sz w:val="22"/>
          <w:szCs w:val="22"/>
        </w:rPr>
        <w:t xml:space="preserve"> y cargo de funcionario)</w:t>
      </w:r>
      <w:r w:rsidRPr="00A626F5">
        <w:rPr>
          <w:rFonts w:ascii="Arial" w:hAnsi="Arial" w:cs="Arial"/>
          <w:b/>
          <w:bCs/>
          <w:sz w:val="22"/>
          <w:szCs w:val="22"/>
        </w:rPr>
        <w:tab/>
        <w:t xml:space="preserve">                     (</w:t>
      </w:r>
      <w:proofErr w:type="gramStart"/>
      <w:r w:rsidRPr="00A626F5">
        <w:rPr>
          <w:rFonts w:ascii="Arial" w:hAnsi="Arial" w:cs="Arial"/>
          <w:b/>
          <w:bCs/>
          <w:sz w:val="22"/>
          <w:szCs w:val="22"/>
        </w:rPr>
        <w:t>nombres</w:t>
      </w:r>
      <w:proofErr w:type="gramEnd"/>
      <w:r w:rsidRPr="00A626F5">
        <w:rPr>
          <w:rFonts w:ascii="Arial" w:hAnsi="Arial" w:cs="Arial"/>
          <w:b/>
          <w:bCs/>
          <w:sz w:val="22"/>
          <w:szCs w:val="22"/>
        </w:rPr>
        <w:t xml:space="preserve"> y cargo de funcionario)</w:t>
      </w:r>
    </w:p>
    <w:p w14:paraId="7DB6222E" w14:textId="77777777" w:rsidR="00A626F5" w:rsidRPr="00A626F5" w:rsidRDefault="00A626F5" w:rsidP="00A626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26F5">
        <w:rPr>
          <w:rFonts w:ascii="Arial" w:hAnsi="Arial" w:cs="Arial"/>
          <w:b/>
          <w:bCs/>
          <w:sz w:val="22"/>
          <w:szCs w:val="22"/>
        </w:rPr>
        <w:tab/>
      </w:r>
    </w:p>
    <w:sectPr w:rsidR="00A626F5" w:rsidRPr="00A626F5" w:rsidSect="00917EEB">
      <w:headerReference w:type="default" r:id="rId9"/>
      <w:footerReference w:type="even" r:id="rId10"/>
      <w:footerReference w:type="default" r:id="rId11"/>
      <w:pgSz w:w="11906" w:h="16838" w:code="9"/>
      <w:pgMar w:top="1701" w:right="1418" w:bottom="1418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E480B" w14:textId="77777777" w:rsidR="00B262C9" w:rsidRDefault="00B262C9">
      <w:r>
        <w:separator/>
      </w:r>
    </w:p>
  </w:endnote>
  <w:endnote w:type="continuationSeparator" w:id="0">
    <w:p w14:paraId="648EF2E2" w14:textId="77777777" w:rsidR="00B262C9" w:rsidRDefault="00B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130D" w14:textId="77777777" w:rsidR="00420AC4" w:rsidRDefault="00420A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4B6C9" w14:textId="77777777" w:rsidR="00420AC4" w:rsidRDefault="00420A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4122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8ED44" w14:textId="30A16DF7" w:rsidR="002F4618" w:rsidRDefault="002F4618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32E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32E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AAEB622" w14:textId="77777777" w:rsidR="00420AC4" w:rsidRDefault="00420A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9FE5E" w14:textId="77777777" w:rsidR="00B262C9" w:rsidRDefault="00B262C9">
      <w:r>
        <w:separator/>
      </w:r>
    </w:p>
  </w:footnote>
  <w:footnote w:type="continuationSeparator" w:id="0">
    <w:p w14:paraId="117C6035" w14:textId="77777777" w:rsidR="00B262C9" w:rsidRDefault="00B2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0D1D" w14:textId="1227EB4B" w:rsidR="00F65286" w:rsidRPr="00F65286" w:rsidRDefault="00F65286" w:rsidP="00F65286">
    <w:pPr>
      <w:pStyle w:val="Encabezado"/>
      <w:jc w:val="center"/>
      <w:rPr>
        <w:b/>
        <w:sz w:val="28"/>
        <w:szCs w:val="28"/>
        <w:lang w:val="es-PE"/>
      </w:rPr>
    </w:pPr>
    <w:r w:rsidRPr="00F65286">
      <w:rPr>
        <w:b/>
        <w:sz w:val="28"/>
        <w:szCs w:val="28"/>
        <w:lang w:val="es-PE"/>
      </w:rPr>
      <w:t>ENTIDAD PARTICIPANTE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7FBF"/>
    <w:multiLevelType w:val="hybridMultilevel"/>
    <w:tmpl w:val="8C0663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4EE"/>
    <w:multiLevelType w:val="hybridMultilevel"/>
    <w:tmpl w:val="BB32FB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3049"/>
    <w:multiLevelType w:val="hybridMultilevel"/>
    <w:tmpl w:val="5714F4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C7D9E"/>
    <w:multiLevelType w:val="hybridMultilevel"/>
    <w:tmpl w:val="221026AA"/>
    <w:lvl w:ilvl="0" w:tplc="1D14DDE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9D43486"/>
    <w:multiLevelType w:val="hybridMultilevel"/>
    <w:tmpl w:val="CB1EBA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11"/>
    <w:rsid w:val="000021B1"/>
    <w:rsid w:val="00014E53"/>
    <w:rsid w:val="000277C9"/>
    <w:rsid w:val="00030ABC"/>
    <w:rsid w:val="00033541"/>
    <w:rsid w:val="00055846"/>
    <w:rsid w:val="0007219B"/>
    <w:rsid w:val="00083F06"/>
    <w:rsid w:val="00091F6C"/>
    <w:rsid w:val="00093F17"/>
    <w:rsid w:val="000A5678"/>
    <w:rsid w:val="000B4D6B"/>
    <w:rsid w:val="000D557D"/>
    <w:rsid w:val="000E06B4"/>
    <w:rsid w:val="000F7409"/>
    <w:rsid w:val="00104B49"/>
    <w:rsid w:val="00122081"/>
    <w:rsid w:val="001349AA"/>
    <w:rsid w:val="00140EA2"/>
    <w:rsid w:val="001431CD"/>
    <w:rsid w:val="001542A5"/>
    <w:rsid w:val="001554B9"/>
    <w:rsid w:val="00161110"/>
    <w:rsid w:val="00164BE6"/>
    <w:rsid w:val="00187D2B"/>
    <w:rsid w:val="00187DAE"/>
    <w:rsid w:val="001A2D59"/>
    <w:rsid w:val="001A7A43"/>
    <w:rsid w:val="001B2502"/>
    <w:rsid w:val="001B543B"/>
    <w:rsid w:val="001D4C86"/>
    <w:rsid w:val="001E12A0"/>
    <w:rsid w:val="002022BF"/>
    <w:rsid w:val="00211F32"/>
    <w:rsid w:val="00223218"/>
    <w:rsid w:val="00225A1B"/>
    <w:rsid w:val="00251859"/>
    <w:rsid w:val="00256737"/>
    <w:rsid w:val="0027354E"/>
    <w:rsid w:val="00273B9C"/>
    <w:rsid w:val="00277B70"/>
    <w:rsid w:val="00285B5B"/>
    <w:rsid w:val="002B065C"/>
    <w:rsid w:val="002C0E13"/>
    <w:rsid w:val="002D6A01"/>
    <w:rsid w:val="002E04E5"/>
    <w:rsid w:val="002E2588"/>
    <w:rsid w:val="002F140D"/>
    <w:rsid w:val="002F2304"/>
    <w:rsid w:val="002F4618"/>
    <w:rsid w:val="003128FF"/>
    <w:rsid w:val="00315C1C"/>
    <w:rsid w:val="0032059D"/>
    <w:rsid w:val="0032186C"/>
    <w:rsid w:val="00353D96"/>
    <w:rsid w:val="0038273C"/>
    <w:rsid w:val="003975D4"/>
    <w:rsid w:val="003A7376"/>
    <w:rsid w:val="003C75EC"/>
    <w:rsid w:val="003E1D5A"/>
    <w:rsid w:val="003E3FC4"/>
    <w:rsid w:val="003E7E69"/>
    <w:rsid w:val="00400B0B"/>
    <w:rsid w:val="0040205F"/>
    <w:rsid w:val="0040598A"/>
    <w:rsid w:val="0041151B"/>
    <w:rsid w:val="00420AC4"/>
    <w:rsid w:val="00437C40"/>
    <w:rsid w:val="00444E98"/>
    <w:rsid w:val="004B6898"/>
    <w:rsid w:val="004C04BB"/>
    <w:rsid w:val="004C7209"/>
    <w:rsid w:val="004D57E0"/>
    <w:rsid w:val="004D63BA"/>
    <w:rsid w:val="004D7862"/>
    <w:rsid w:val="004E2A54"/>
    <w:rsid w:val="004F21F2"/>
    <w:rsid w:val="004F3DEC"/>
    <w:rsid w:val="004F553D"/>
    <w:rsid w:val="00514246"/>
    <w:rsid w:val="00514F4E"/>
    <w:rsid w:val="00532628"/>
    <w:rsid w:val="00535A43"/>
    <w:rsid w:val="005418B6"/>
    <w:rsid w:val="00542F73"/>
    <w:rsid w:val="00547FCB"/>
    <w:rsid w:val="00550219"/>
    <w:rsid w:val="00564628"/>
    <w:rsid w:val="005A0F47"/>
    <w:rsid w:val="005A3505"/>
    <w:rsid w:val="005D425D"/>
    <w:rsid w:val="006211C8"/>
    <w:rsid w:val="00630218"/>
    <w:rsid w:val="006319DC"/>
    <w:rsid w:val="006337CC"/>
    <w:rsid w:val="006357EB"/>
    <w:rsid w:val="00676504"/>
    <w:rsid w:val="006770FD"/>
    <w:rsid w:val="006A06C3"/>
    <w:rsid w:val="006A65BB"/>
    <w:rsid w:val="006C075B"/>
    <w:rsid w:val="006C2E67"/>
    <w:rsid w:val="006D49EC"/>
    <w:rsid w:val="006D6E21"/>
    <w:rsid w:val="006E2522"/>
    <w:rsid w:val="006F22D3"/>
    <w:rsid w:val="006F2A74"/>
    <w:rsid w:val="00706D2A"/>
    <w:rsid w:val="00714684"/>
    <w:rsid w:val="00715F39"/>
    <w:rsid w:val="00734DC3"/>
    <w:rsid w:val="007417C8"/>
    <w:rsid w:val="00747D88"/>
    <w:rsid w:val="00766360"/>
    <w:rsid w:val="007A3980"/>
    <w:rsid w:val="007B2944"/>
    <w:rsid w:val="007B4F4D"/>
    <w:rsid w:val="007B5C8D"/>
    <w:rsid w:val="007C1A3A"/>
    <w:rsid w:val="007D091B"/>
    <w:rsid w:val="00803707"/>
    <w:rsid w:val="0081025D"/>
    <w:rsid w:val="00817B40"/>
    <w:rsid w:val="0082759B"/>
    <w:rsid w:val="0084308E"/>
    <w:rsid w:val="00851439"/>
    <w:rsid w:val="00852A85"/>
    <w:rsid w:val="0085648D"/>
    <w:rsid w:val="008733D8"/>
    <w:rsid w:val="00873704"/>
    <w:rsid w:val="00883382"/>
    <w:rsid w:val="008864EF"/>
    <w:rsid w:val="00886A24"/>
    <w:rsid w:val="008A42D5"/>
    <w:rsid w:val="008D08AB"/>
    <w:rsid w:val="008D11B3"/>
    <w:rsid w:val="008D311E"/>
    <w:rsid w:val="008F43C4"/>
    <w:rsid w:val="008F5544"/>
    <w:rsid w:val="00917EEB"/>
    <w:rsid w:val="009244A9"/>
    <w:rsid w:val="009523ED"/>
    <w:rsid w:val="00952787"/>
    <w:rsid w:val="00974ABE"/>
    <w:rsid w:val="00987B7E"/>
    <w:rsid w:val="009A6F9B"/>
    <w:rsid w:val="009D2891"/>
    <w:rsid w:val="009D71E0"/>
    <w:rsid w:val="009D7A5B"/>
    <w:rsid w:val="009E04B1"/>
    <w:rsid w:val="009E1450"/>
    <w:rsid w:val="009E6A14"/>
    <w:rsid w:val="009F3610"/>
    <w:rsid w:val="00A056B3"/>
    <w:rsid w:val="00A0666F"/>
    <w:rsid w:val="00A120C0"/>
    <w:rsid w:val="00A1707A"/>
    <w:rsid w:val="00A20335"/>
    <w:rsid w:val="00A23CC3"/>
    <w:rsid w:val="00A45FF6"/>
    <w:rsid w:val="00A57D11"/>
    <w:rsid w:val="00A626F5"/>
    <w:rsid w:val="00A71978"/>
    <w:rsid w:val="00A72221"/>
    <w:rsid w:val="00A77700"/>
    <w:rsid w:val="00A93E6E"/>
    <w:rsid w:val="00A978DA"/>
    <w:rsid w:val="00AA27BB"/>
    <w:rsid w:val="00AB5258"/>
    <w:rsid w:val="00AE3234"/>
    <w:rsid w:val="00AE51E1"/>
    <w:rsid w:val="00AF164E"/>
    <w:rsid w:val="00AF5D2E"/>
    <w:rsid w:val="00B01B47"/>
    <w:rsid w:val="00B21001"/>
    <w:rsid w:val="00B22F1D"/>
    <w:rsid w:val="00B262C9"/>
    <w:rsid w:val="00B30AD5"/>
    <w:rsid w:val="00B32EDE"/>
    <w:rsid w:val="00B67154"/>
    <w:rsid w:val="00BA02EB"/>
    <w:rsid w:val="00BB46EF"/>
    <w:rsid w:val="00BB6CA7"/>
    <w:rsid w:val="00BC2AAB"/>
    <w:rsid w:val="00BC650E"/>
    <w:rsid w:val="00BD4E8A"/>
    <w:rsid w:val="00C04E27"/>
    <w:rsid w:val="00C101BB"/>
    <w:rsid w:val="00C16625"/>
    <w:rsid w:val="00C3784C"/>
    <w:rsid w:val="00C40A24"/>
    <w:rsid w:val="00C45B21"/>
    <w:rsid w:val="00C61111"/>
    <w:rsid w:val="00C7593D"/>
    <w:rsid w:val="00C8375A"/>
    <w:rsid w:val="00C90AAF"/>
    <w:rsid w:val="00C93DA2"/>
    <w:rsid w:val="00C9451A"/>
    <w:rsid w:val="00CA1205"/>
    <w:rsid w:val="00CB0214"/>
    <w:rsid w:val="00CC1307"/>
    <w:rsid w:val="00CC42B0"/>
    <w:rsid w:val="00CC7989"/>
    <w:rsid w:val="00CE527F"/>
    <w:rsid w:val="00D06235"/>
    <w:rsid w:val="00D23BF2"/>
    <w:rsid w:val="00D42DE8"/>
    <w:rsid w:val="00D764CD"/>
    <w:rsid w:val="00D96E64"/>
    <w:rsid w:val="00DD6114"/>
    <w:rsid w:val="00DD7CDC"/>
    <w:rsid w:val="00DF3768"/>
    <w:rsid w:val="00DF5B17"/>
    <w:rsid w:val="00E0144B"/>
    <w:rsid w:val="00E15B7E"/>
    <w:rsid w:val="00E16A90"/>
    <w:rsid w:val="00E254E4"/>
    <w:rsid w:val="00E33AB7"/>
    <w:rsid w:val="00E352BC"/>
    <w:rsid w:val="00E46E30"/>
    <w:rsid w:val="00E91BA1"/>
    <w:rsid w:val="00EA6ED6"/>
    <w:rsid w:val="00ED0C87"/>
    <w:rsid w:val="00EE1E6D"/>
    <w:rsid w:val="00EE4429"/>
    <w:rsid w:val="00EF5C1E"/>
    <w:rsid w:val="00F004DA"/>
    <w:rsid w:val="00F12B6B"/>
    <w:rsid w:val="00F15E4F"/>
    <w:rsid w:val="00F64417"/>
    <w:rsid w:val="00F64A73"/>
    <w:rsid w:val="00F65286"/>
    <w:rsid w:val="00F7008A"/>
    <w:rsid w:val="00F71D0A"/>
    <w:rsid w:val="00FB0327"/>
    <w:rsid w:val="00FB268C"/>
    <w:rsid w:val="00FB4CC2"/>
    <w:rsid w:val="00FE2FFE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2DA6E"/>
  <w15:docId w15:val="{9680C849-17DA-4974-A781-22FEFC5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Textoindependiente">
    <w:name w:val="Body Text"/>
    <w:basedOn w:val="Normal"/>
    <w:semiHidden/>
    <w:rPr>
      <w:rFonts w:ascii="Arial" w:hAnsi="Arial"/>
      <w:sz w:val="22"/>
      <w:szCs w:val="20"/>
      <w:lang w:val="es-PE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Comic Sans MS" w:hAnsi="Comic Sans MS"/>
      <w:sz w:val="22"/>
      <w:szCs w:val="20"/>
    </w:rPr>
  </w:style>
  <w:style w:type="paragraph" w:styleId="Textonotapie">
    <w:name w:val="footnote text"/>
    <w:basedOn w:val="Normal"/>
    <w:semiHidden/>
    <w:rPr>
      <w:rFonts w:ascii="Arial" w:hAnsi="Arial"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Arial" w:hAnsi="Arial" w:cs="Arial"/>
      <w:sz w:val="22"/>
    </w:rPr>
  </w:style>
  <w:style w:type="character" w:styleId="Nmerodepgina">
    <w:name w:val="page number"/>
    <w:basedOn w:val="Fuentedeprrafopredeter"/>
    <w:semiHidden/>
  </w:style>
  <w:style w:type="character" w:customStyle="1" w:styleId="PiedepginaCar">
    <w:name w:val="Pie de página Car"/>
    <w:link w:val="Piedepgina"/>
    <w:uiPriority w:val="99"/>
    <w:rsid w:val="001431CD"/>
    <w:rPr>
      <w:rFonts w:ascii="Arial" w:hAnsi="Arial" w:cs="Arial"/>
      <w:sz w:val="2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04B49"/>
    <w:rPr>
      <w:lang w:val="en-US" w:eastAsia="zh-CN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100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A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52A85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D63BA"/>
    <w:rPr>
      <w:rFonts w:ascii="Arial" w:hAnsi="Arial" w:cs="Arial"/>
      <w:sz w:val="22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6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3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3B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BA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44E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7700"/>
    <w:rPr>
      <w:rFonts w:eastAsiaTheme="minorHAnsi"/>
      <w:lang w:val="es-PE" w:eastAsia="es-PE"/>
    </w:rPr>
  </w:style>
  <w:style w:type="character" w:styleId="nfasis">
    <w:name w:val="Emphasis"/>
    <w:basedOn w:val="Fuentedeprrafopredeter"/>
    <w:uiPriority w:val="20"/>
    <w:qFormat/>
    <w:rsid w:val="00A77700"/>
    <w:rPr>
      <w:i/>
      <w:iCs/>
    </w:rPr>
  </w:style>
  <w:style w:type="character" w:customStyle="1" w:styleId="apple-converted-space">
    <w:name w:val="apple-converted-space"/>
    <w:basedOn w:val="Fuentedeprrafopredeter"/>
    <w:rsid w:val="00AF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.RegistroLiqConOpeInt@bcrp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C332-9600-4FF3-96D8-6B02211F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N°</vt:lpstr>
      <vt:lpstr>Contrato N°</vt:lpstr>
    </vt:vector>
  </TitlesOfParts>
  <Company>Banco Central de Reserva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N°</dc:title>
  <dc:creator>BCRP</dc:creator>
  <cp:lastModifiedBy>Vega Bernal, Milton  Gonzalo</cp:lastModifiedBy>
  <cp:revision>10</cp:revision>
  <cp:lastPrinted>2014-08-14T20:01:00Z</cp:lastPrinted>
  <dcterms:created xsi:type="dcterms:W3CDTF">2020-06-24T19:30:00Z</dcterms:created>
  <dcterms:modified xsi:type="dcterms:W3CDTF">2020-06-26T11:43:00Z</dcterms:modified>
</cp:coreProperties>
</file>