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165A8" w14:textId="77777777" w:rsidR="00E379FE" w:rsidRPr="003E57AF" w:rsidRDefault="00E379FE" w:rsidP="00E379FE">
      <w:pPr>
        <w:pStyle w:val="Textoindependiente"/>
        <w:tabs>
          <w:tab w:val="clear" w:pos="0"/>
          <w:tab w:val="clear" w:pos="566"/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3E57AF">
        <w:rPr>
          <w:rFonts w:ascii="Arial" w:hAnsi="Arial" w:cs="Arial"/>
          <w:b/>
          <w:sz w:val="22"/>
          <w:szCs w:val="22"/>
        </w:rPr>
        <w:t>CONTRATO ESPECÍFICO</w:t>
      </w:r>
    </w:p>
    <w:p w14:paraId="48DFE12E" w14:textId="4B67630D" w:rsidR="00E379FE" w:rsidRDefault="00883078" w:rsidP="00E379FE">
      <w:pPr>
        <w:pStyle w:val="Textoindependiente"/>
        <w:tabs>
          <w:tab w:val="clear" w:pos="0"/>
          <w:tab w:val="clear" w:pos="566"/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3E57AF">
        <w:rPr>
          <w:rFonts w:ascii="Arial" w:hAnsi="Arial" w:cs="Arial"/>
          <w:b/>
          <w:sz w:val="22"/>
          <w:szCs w:val="22"/>
        </w:rPr>
        <w:t xml:space="preserve">OPERACIÓN DE REPORTE DE </w:t>
      </w:r>
      <w:r w:rsidR="00141880">
        <w:rPr>
          <w:rFonts w:ascii="Arial" w:hAnsi="Arial" w:cs="Arial"/>
          <w:b/>
          <w:sz w:val="22"/>
          <w:szCs w:val="22"/>
        </w:rPr>
        <w:t>CREDITOS CON GARANTÍA DEL GOBIER</w:t>
      </w:r>
      <w:r w:rsidR="006D620A">
        <w:rPr>
          <w:rFonts w:ascii="Arial" w:hAnsi="Arial" w:cs="Arial"/>
          <w:b/>
          <w:sz w:val="22"/>
          <w:szCs w:val="22"/>
        </w:rPr>
        <w:t>N</w:t>
      </w:r>
      <w:r w:rsidR="00141880">
        <w:rPr>
          <w:rFonts w:ascii="Arial" w:hAnsi="Arial" w:cs="Arial"/>
          <w:b/>
          <w:sz w:val="22"/>
          <w:szCs w:val="22"/>
        </w:rPr>
        <w:t xml:space="preserve">O NACIONAL REPRESENTADOS EN TÍTULOS </w:t>
      </w:r>
      <w:r w:rsidRPr="003E57AF">
        <w:rPr>
          <w:rFonts w:ascii="Arial" w:hAnsi="Arial" w:cs="Arial"/>
          <w:b/>
          <w:sz w:val="22"/>
          <w:szCs w:val="22"/>
        </w:rPr>
        <w:t>VALORES</w:t>
      </w:r>
    </w:p>
    <w:p w14:paraId="411B8E3D" w14:textId="673DB766" w:rsidR="00141880" w:rsidRDefault="00141880" w:rsidP="00E379FE">
      <w:pPr>
        <w:pStyle w:val="Textoindependiente"/>
        <w:tabs>
          <w:tab w:val="clear" w:pos="0"/>
          <w:tab w:val="clear" w:pos="566"/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(ESQUEMA ESPECIAL)</w:t>
      </w:r>
    </w:p>
    <w:p w14:paraId="592C86F6" w14:textId="77777777" w:rsidR="00141880" w:rsidRDefault="00141880" w:rsidP="00E379FE">
      <w:pPr>
        <w:pStyle w:val="Textoindependiente"/>
        <w:tabs>
          <w:tab w:val="clear" w:pos="0"/>
          <w:tab w:val="clear" w:pos="566"/>
          <w:tab w:val="left" w:pos="567"/>
        </w:tabs>
        <w:rPr>
          <w:rFonts w:ascii="Arial" w:hAnsi="Arial" w:cs="Arial"/>
          <w:b/>
          <w:sz w:val="22"/>
          <w:szCs w:val="22"/>
        </w:rPr>
      </w:pPr>
    </w:p>
    <w:p w14:paraId="3B3CC7E6" w14:textId="0425F03C" w:rsidR="004701BB" w:rsidRPr="00C64ED1" w:rsidRDefault="004701BB" w:rsidP="00606A35">
      <w:pPr>
        <w:pStyle w:val="Textoindependiente"/>
        <w:tabs>
          <w:tab w:val="clear" w:pos="0"/>
          <w:tab w:val="clear" w:pos="566"/>
          <w:tab w:val="left" w:pos="567"/>
        </w:tabs>
        <w:jc w:val="right"/>
        <w:rPr>
          <w:rFonts w:ascii="Arial" w:hAnsi="Arial" w:cs="Arial"/>
          <w:sz w:val="22"/>
          <w:szCs w:val="22"/>
        </w:rPr>
      </w:pPr>
    </w:p>
    <w:p w14:paraId="25CD9C52" w14:textId="253D247B" w:rsidR="00C43D73" w:rsidRPr="00C64ED1" w:rsidRDefault="004701B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 w:rsidRPr="00C64ED1">
        <w:rPr>
          <w:rFonts w:ascii="Arial" w:hAnsi="Arial" w:cs="Arial"/>
          <w:sz w:val="22"/>
          <w:szCs w:val="22"/>
        </w:rPr>
        <w:t>Lima,</w:t>
      </w:r>
      <w:r w:rsidRPr="00C64ED1">
        <w:rPr>
          <w:rFonts w:ascii="Arial" w:hAnsi="Arial" w:cs="Arial"/>
          <w:sz w:val="22"/>
          <w:szCs w:val="22"/>
        </w:rPr>
        <w:tab/>
      </w:r>
      <w:r w:rsidR="000740DE" w:rsidRPr="00C64ED1">
        <w:rPr>
          <w:rFonts w:ascii="Arial" w:hAnsi="Arial" w:cs="Arial"/>
          <w:sz w:val="22"/>
          <w:szCs w:val="22"/>
        </w:rPr>
        <w:t>[</w:t>
      </w:r>
      <w:proofErr w:type="spellStart"/>
      <w:r w:rsidR="00AF045E">
        <w:rPr>
          <w:rFonts w:ascii="Arial" w:hAnsi="Arial" w:cs="Arial"/>
          <w:sz w:val="22"/>
          <w:szCs w:val="22"/>
        </w:rPr>
        <w:t>dd</w:t>
      </w:r>
      <w:proofErr w:type="spellEnd"/>
      <w:r w:rsidR="00AF045E">
        <w:rPr>
          <w:rFonts w:ascii="Arial" w:hAnsi="Arial" w:cs="Arial"/>
          <w:sz w:val="22"/>
          <w:szCs w:val="22"/>
        </w:rPr>
        <w:t>-mm-</w:t>
      </w:r>
      <w:proofErr w:type="spellStart"/>
      <w:r w:rsidR="00AF045E">
        <w:rPr>
          <w:rFonts w:ascii="Arial" w:hAnsi="Arial" w:cs="Arial"/>
          <w:sz w:val="22"/>
          <w:szCs w:val="22"/>
        </w:rPr>
        <w:t>aaaa</w:t>
      </w:r>
      <w:proofErr w:type="spellEnd"/>
      <w:r w:rsidR="000740DE" w:rsidRPr="00C64ED1">
        <w:rPr>
          <w:rFonts w:ascii="Arial" w:hAnsi="Arial" w:cs="Arial"/>
          <w:sz w:val="22"/>
          <w:szCs w:val="22"/>
        </w:rPr>
        <w:t>]</w:t>
      </w:r>
      <w:r w:rsidR="00686776" w:rsidRPr="00C64ED1">
        <w:rPr>
          <w:rFonts w:ascii="Arial" w:hAnsi="Arial" w:cs="Arial"/>
          <w:sz w:val="22"/>
          <w:szCs w:val="22"/>
        </w:rPr>
        <w:t xml:space="preserve">                                                                    CLAVE DE FACSIMIL N°____</w:t>
      </w:r>
    </w:p>
    <w:p w14:paraId="5BF2C07E" w14:textId="77777777" w:rsidR="004701BB" w:rsidRPr="003E57AF" w:rsidRDefault="004701BB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0ACF7F4A" w14:textId="2C182D84" w:rsidR="00735D11" w:rsidRPr="003E57AF" w:rsidRDefault="008236CF" w:rsidP="00C111F7">
      <w:pPr>
        <w:jc w:val="both"/>
        <w:rPr>
          <w:rFonts w:ascii="Arial" w:hAnsi="Arial" w:cs="Arial"/>
          <w:sz w:val="22"/>
          <w:szCs w:val="22"/>
        </w:rPr>
      </w:pPr>
      <w:r w:rsidRPr="003E57AF">
        <w:rPr>
          <w:rFonts w:ascii="Arial" w:hAnsi="Arial" w:cs="Arial"/>
          <w:sz w:val="22"/>
          <w:szCs w:val="22"/>
        </w:rPr>
        <w:t xml:space="preserve">El presente documento constituye el Contrato Específico </w:t>
      </w:r>
      <w:r w:rsidR="00C111F7" w:rsidRPr="003E57AF">
        <w:rPr>
          <w:rFonts w:ascii="Arial" w:hAnsi="Arial" w:cs="Arial"/>
          <w:sz w:val="22"/>
          <w:szCs w:val="22"/>
        </w:rPr>
        <w:t>de la Operaci</w:t>
      </w:r>
      <w:r w:rsidR="00735D11" w:rsidRPr="003E57AF">
        <w:rPr>
          <w:rFonts w:ascii="Arial" w:hAnsi="Arial" w:cs="Arial"/>
          <w:sz w:val="22"/>
          <w:szCs w:val="22"/>
        </w:rPr>
        <w:t xml:space="preserve">ón </w:t>
      </w:r>
      <w:r w:rsidR="00C111F7" w:rsidRPr="003E57AF">
        <w:rPr>
          <w:rFonts w:ascii="Arial" w:hAnsi="Arial" w:cs="Arial"/>
          <w:sz w:val="22"/>
          <w:szCs w:val="22"/>
        </w:rPr>
        <w:t xml:space="preserve">de </w:t>
      </w:r>
      <w:r w:rsidR="00141880">
        <w:rPr>
          <w:rFonts w:ascii="Arial" w:hAnsi="Arial" w:cs="Arial"/>
          <w:sz w:val="22"/>
          <w:szCs w:val="22"/>
        </w:rPr>
        <w:t>Reporte de Créditos con Garantía del Gobierno Nacional Representados en Títulos Valores</w:t>
      </w:r>
      <w:r w:rsidR="008817E1">
        <w:rPr>
          <w:rFonts w:ascii="Arial" w:hAnsi="Arial" w:cs="Arial"/>
          <w:sz w:val="22"/>
          <w:szCs w:val="22"/>
        </w:rPr>
        <w:t xml:space="preserve"> (Certificados de Participación – Esquema Especial) </w:t>
      </w:r>
      <w:r w:rsidR="00CC3DA6">
        <w:rPr>
          <w:rFonts w:ascii="Arial" w:hAnsi="Arial" w:cs="Arial"/>
          <w:sz w:val="22"/>
          <w:szCs w:val="22"/>
        </w:rPr>
        <w:t>e</w:t>
      </w:r>
      <w:r w:rsidR="00C111F7" w:rsidRPr="003E57AF">
        <w:rPr>
          <w:rFonts w:ascii="Arial" w:hAnsi="Arial" w:cs="Arial"/>
          <w:sz w:val="22"/>
          <w:szCs w:val="22"/>
        </w:rPr>
        <w:t xml:space="preserve">l </w:t>
      </w:r>
      <w:r w:rsidR="00735D11" w:rsidRPr="003E57AF">
        <w:rPr>
          <w:rFonts w:ascii="Arial" w:hAnsi="Arial" w:cs="Arial"/>
          <w:sz w:val="22"/>
          <w:szCs w:val="22"/>
        </w:rPr>
        <w:t>que se detalla a continuación.</w:t>
      </w:r>
    </w:p>
    <w:p w14:paraId="5552E15E" w14:textId="77777777" w:rsidR="00735D11" w:rsidRPr="003E57AF" w:rsidRDefault="00735D11" w:rsidP="00C111F7">
      <w:pPr>
        <w:jc w:val="both"/>
        <w:rPr>
          <w:rFonts w:ascii="Arial" w:hAnsi="Arial" w:cs="Arial"/>
          <w:sz w:val="22"/>
          <w:szCs w:val="22"/>
        </w:rPr>
      </w:pPr>
    </w:p>
    <w:p w14:paraId="679CC8C9" w14:textId="171F0B6B" w:rsidR="00C111F7" w:rsidRDefault="00C111F7" w:rsidP="00C111F7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3E57AF">
        <w:rPr>
          <w:rFonts w:ascii="Arial" w:hAnsi="Arial" w:cs="Arial"/>
          <w:sz w:val="22"/>
          <w:szCs w:val="22"/>
        </w:rPr>
        <w:t xml:space="preserve">El Contrato Específico se </w:t>
      </w:r>
      <w:r w:rsidRPr="003E57AF">
        <w:rPr>
          <w:rFonts w:ascii="Arial" w:hAnsi="Arial" w:cs="Arial"/>
          <w:sz w:val="22"/>
          <w:szCs w:val="22"/>
          <w:lang w:val="es-ES_tradnl"/>
        </w:rPr>
        <w:t xml:space="preserve">suscribe al amparo y con sujeción a lo dispuesto en la </w:t>
      </w:r>
      <w:r w:rsidRPr="003E57AF">
        <w:rPr>
          <w:rFonts w:ascii="Arial" w:hAnsi="Arial" w:cs="Arial"/>
          <w:sz w:val="22"/>
          <w:szCs w:val="22"/>
        </w:rPr>
        <w:t>Circular N° 0017-2020-BCRP o la que la sustituya</w:t>
      </w:r>
      <w:r w:rsidRPr="003E57AF">
        <w:rPr>
          <w:rFonts w:ascii="Arial" w:hAnsi="Arial" w:cs="Arial"/>
          <w:sz w:val="22"/>
          <w:szCs w:val="22"/>
          <w:lang w:val="es-ES_tradnl"/>
        </w:rPr>
        <w:t xml:space="preserve"> (La Circular)</w:t>
      </w:r>
      <w:r w:rsidR="00735D11" w:rsidRPr="003E57AF">
        <w:rPr>
          <w:rFonts w:ascii="Arial" w:hAnsi="Arial" w:cs="Arial"/>
          <w:sz w:val="22"/>
          <w:szCs w:val="22"/>
          <w:lang w:val="es-ES_tradnl"/>
        </w:rPr>
        <w:t>;</w:t>
      </w:r>
      <w:r w:rsidRPr="003E57AF">
        <w:rPr>
          <w:rFonts w:ascii="Arial" w:hAnsi="Arial" w:cs="Arial"/>
          <w:sz w:val="22"/>
          <w:szCs w:val="22"/>
          <w:lang w:val="es-ES_tradnl"/>
        </w:rPr>
        <w:t xml:space="preserve"> en el Contrato Marco previsto en la citada Circular suscrito entre el Banco Central de Reserva del Perú (EL BCRP) y… (</w:t>
      </w:r>
      <w:proofErr w:type="gramStart"/>
      <w:r w:rsidRPr="003E57AF">
        <w:rPr>
          <w:rFonts w:ascii="Arial" w:hAnsi="Arial" w:cs="Arial"/>
          <w:sz w:val="22"/>
          <w:szCs w:val="22"/>
          <w:lang w:val="es-ES_tradnl"/>
        </w:rPr>
        <w:t>nombre</w:t>
      </w:r>
      <w:proofErr w:type="gramEnd"/>
      <w:r w:rsidRPr="003E57AF">
        <w:rPr>
          <w:rFonts w:ascii="Arial" w:hAnsi="Arial" w:cs="Arial"/>
          <w:sz w:val="22"/>
          <w:szCs w:val="22"/>
          <w:lang w:val="es-ES_tradnl"/>
        </w:rPr>
        <w:t xml:space="preserve"> de la empresa), (LA EP), (en adelante, el Contrato Marco)</w:t>
      </w:r>
      <w:r w:rsidR="008817E1">
        <w:rPr>
          <w:rFonts w:ascii="Arial" w:hAnsi="Arial" w:cs="Arial"/>
          <w:sz w:val="22"/>
          <w:szCs w:val="22"/>
          <w:lang w:val="es-ES_tradnl"/>
        </w:rPr>
        <w:t>,</w:t>
      </w:r>
      <w:r w:rsidR="008817E1" w:rsidRPr="008817E1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817E1">
        <w:rPr>
          <w:rFonts w:ascii="Arial" w:hAnsi="Arial" w:cs="Arial"/>
          <w:sz w:val="22"/>
          <w:szCs w:val="22"/>
          <w:lang w:val="es-ES_tradnl"/>
        </w:rPr>
        <w:t>el Decreto Legislativo N° 1455, su Reglamento Operativo, normas ampliatorias y modificatorias</w:t>
      </w:r>
      <w:r w:rsidR="00F70B76">
        <w:rPr>
          <w:rFonts w:ascii="Arial" w:hAnsi="Arial" w:cs="Arial"/>
          <w:sz w:val="22"/>
          <w:szCs w:val="22"/>
          <w:lang w:val="es-ES_tradnl"/>
        </w:rPr>
        <w:t>, y</w:t>
      </w:r>
      <w:r w:rsidRPr="003E57AF">
        <w:rPr>
          <w:rFonts w:ascii="Arial" w:hAnsi="Arial" w:cs="Arial"/>
          <w:sz w:val="22"/>
          <w:szCs w:val="22"/>
          <w:lang w:val="es-ES_tradnl"/>
        </w:rPr>
        <w:t xml:space="preserve"> las disposiciones contenidas en la Ley de Operaciones de Reporte, Ley N° 30052.</w:t>
      </w:r>
    </w:p>
    <w:p w14:paraId="51D3AA6E" w14:textId="77777777" w:rsidR="006D620A" w:rsidRDefault="006D620A" w:rsidP="00C111F7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20F7226" w14:textId="2F66DC01" w:rsidR="004701BB" w:rsidRDefault="002A2260" w:rsidP="003E57AF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E57AF">
        <w:rPr>
          <w:rFonts w:ascii="Arial" w:hAnsi="Arial" w:cs="Arial"/>
          <w:b/>
          <w:sz w:val="22"/>
          <w:szCs w:val="22"/>
        </w:rPr>
        <w:t>PRIMERA</w:t>
      </w:r>
      <w:r>
        <w:rPr>
          <w:rFonts w:ascii="Arial" w:hAnsi="Arial" w:cs="Arial"/>
          <w:b/>
          <w:sz w:val="22"/>
          <w:szCs w:val="22"/>
        </w:rPr>
        <w:t>.</w:t>
      </w:r>
      <w:r w:rsidR="003E57AF">
        <w:rPr>
          <w:rFonts w:ascii="Arial" w:hAnsi="Arial" w:cs="Arial"/>
          <w:b/>
          <w:sz w:val="22"/>
          <w:szCs w:val="22"/>
        </w:rPr>
        <w:t>-</w:t>
      </w:r>
      <w:r w:rsidR="003E57AF" w:rsidRPr="003E57AF">
        <w:rPr>
          <w:rFonts w:ascii="Arial" w:hAnsi="Arial" w:cs="Arial"/>
          <w:b/>
          <w:sz w:val="22"/>
          <w:szCs w:val="22"/>
        </w:rPr>
        <w:t xml:space="preserve"> </w:t>
      </w:r>
      <w:r w:rsidR="00440AE5" w:rsidRPr="003E57AF">
        <w:rPr>
          <w:rFonts w:ascii="Arial" w:hAnsi="Arial" w:cs="Arial"/>
          <w:b/>
          <w:bCs/>
          <w:sz w:val="22"/>
          <w:szCs w:val="22"/>
        </w:rPr>
        <w:t xml:space="preserve">Datos de la </w:t>
      </w:r>
      <w:r w:rsidR="002A29FC" w:rsidRPr="003E57AF">
        <w:rPr>
          <w:rFonts w:ascii="Arial" w:hAnsi="Arial" w:cs="Arial"/>
          <w:b/>
          <w:bCs/>
          <w:sz w:val="22"/>
          <w:szCs w:val="22"/>
        </w:rPr>
        <w:t>Operación</w:t>
      </w:r>
      <w:r w:rsidR="00C64ED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F0DF69" w14:textId="77777777" w:rsidR="009717E7" w:rsidRDefault="009717E7" w:rsidP="009717E7">
      <w:pPr>
        <w:pStyle w:val="Encabezado"/>
        <w:ind w:left="567" w:hanging="567"/>
        <w:jc w:val="both"/>
        <w:rPr>
          <w:szCs w:val="22"/>
          <w:lang w:val="es-ES_tradnl"/>
        </w:rPr>
      </w:pPr>
    </w:p>
    <w:tbl>
      <w:tblPr>
        <w:tblW w:w="878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670"/>
      </w:tblGrid>
      <w:tr w:rsidR="009717E7" w:rsidRPr="00852A85" w14:paraId="73CF5296" w14:textId="77777777" w:rsidTr="00F70B76">
        <w:trPr>
          <w:trHeight w:val="474"/>
        </w:trPr>
        <w:tc>
          <w:tcPr>
            <w:tcW w:w="3119" w:type="dxa"/>
            <w:vAlign w:val="center"/>
          </w:tcPr>
          <w:p w14:paraId="65B7AF03" w14:textId="77777777" w:rsidR="009717E7" w:rsidRPr="00852A85" w:rsidRDefault="009717E7" w:rsidP="004203C9">
            <w:pPr>
              <w:rPr>
                <w:rFonts w:ascii="Arial" w:hAnsi="Arial" w:cs="Arial"/>
                <w:sz w:val="22"/>
                <w:szCs w:val="16"/>
              </w:rPr>
            </w:pPr>
            <w:r w:rsidRPr="00852A85">
              <w:rPr>
                <w:rFonts w:ascii="Arial" w:hAnsi="Arial" w:cs="Arial"/>
                <w:sz w:val="22"/>
                <w:szCs w:val="16"/>
              </w:rPr>
              <w:t>N° de Operación</w:t>
            </w:r>
          </w:p>
        </w:tc>
        <w:tc>
          <w:tcPr>
            <w:tcW w:w="5670" w:type="dxa"/>
            <w:vAlign w:val="center"/>
          </w:tcPr>
          <w:p w14:paraId="52C1E732" w14:textId="77777777" w:rsidR="009717E7" w:rsidRPr="00852A85" w:rsidRDefault="009717E7" w:rsidP="004203C9">
            <w:pPr>
              <w:rPr>
                <w:rFonts w:ascii="Arial" w:hAnsi="Arial" w:cs="Arial"/>
                <w:sz w:val="22"/>
                <w:szCs w:val="16"/>
              </w:rPr>
            </w:pPr>
            <w:r w:rsidRPr="00852A85">
              <w:rPr>
                <w:rFonts w:ascii="Arial" w:hAnsi="Arial" w:cs="Arial"/>
                <w:color w:val="A6A6A6"/>
                <w:sz w:val="22"/>
                <w:szCs w:val="16"/>
              </w:rPr>
              <w:t>Número de la subasta</w:t>
            </w:r>
            <w:r w:rsidRPr="00852A85" w:rsidDel="009F1F39">
              <w:rPr>
                <w:rFonts w:ascii="Arial" w:hAnsi="Arial" w:cs="Arial"/>
                <w:sz w:val="22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6337CC">
              <w:rPr>
                <w:rFonts w:ascii="Arial" w:hAnsi="Arial" w:cs="Arial"/>
                <w:color w:val="A6A6A6"/>
                <w:sz w:val="22"/>
                <w:szCs w:val="16"/>
              </w:rPr>
              <w:t>u operación directa</w:t>
            </w:r>
          </w:p>
        </w:tc>
      </w:tr>
      <w:tr w:rsidR="009717E7" w:rsidRPr="00852A85" w14:paraId="796C3C9C" w14:textId="77777777" w:rsidTr="00F70B76">
        <w:trPr>
          <w:trHeight w:val="474"/>
        </w:trPr>
        <w:tc>
          <w:tcPr>
            <w:tcW w:w="3119" w:type="dxa"/>
            <w:vAlign w:val="center"/>
          </w:tcPr>
          <w:p w14:paraId="73A03422" w14:textId="77777777" w:rsidR="009717E7" w:rsidRPr="00852A85" w:rsidRDefault="009717E7" w:rsidP="004203C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N° Tramo</w:t>
            </w:r>
          </w:p>
        </w:tc>
        <w:tc>
          <w:tcPr>
            <w:tcW w:w="5670" w:type="dxa"/>
            <w:vAlign w:val="center"/>
          </w:tcPr>
          <w:p w14:paraId="63FCEF11" w14:textId="30132481" w:rsidR="009717E7" w:rsidRPr="00852A85" w:rsidRDefault="009717E7" w:rsidP="002A2260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>
              <w:rPr>
                <w:rFonts w:ascii="Arial" w:hAnsi="Arial" w:cs="Arial"/>
                <w:color w:val="A6A6A6"/>
                <w:sz w:val="22"/>
                <w:szCs w:val="16"/>
              </w:rPr>
              <w:t xml:space="preserve">Inicia en 1 </w:t>
            </w:r>
          </w:p>
        </w:tc>
      </w:tr>
      <w:tr w:rsidR="00AF045E" w:rsidRPr="00852A85" w14:paraId="3FA11017" w14:textId="77777777" w:rsidTr="00F70B76">
        <w:trPr>
          <w:trHeight w:val="474"/>
        </w:trPr>
        <w:tc>
          <w:tcPr>
            <w:tcW w:w="3119" w:type="dxa"/>
            <w:vAlign w:val="center"/>
          </w:tcPr>
          <w:p w14:paraId="2544F5B0" w14:textId="70099FF9" w:rsidR="00AF045E" w:rsidRDefault="00AF045E" w:rsidP="00AF045E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Tasa de interés adjudicada aplicable a los créditos</w:t>
            </w:r>
          </w:p>
        </w:tc>
        <w:tc>
          <w:tcPr>
            <w:tcW w:w="5670" w:type="dxa"/>
            <w:vAlign w:val="center"/>
          </w:tcPr>
          <w:p w14:paraId="61922BA4" w14:textId="3C4AFC95" w:rsidR="00AF045E" w:rsidRDefault="00AF045E" w:rsidP="00AF045E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>
              <w:rPr>
                <w:rFonts w:ascii="Arial" w:hAnsi="Arial" w:cs="Arial"/>
                <w:color w:val="A6A6A6"/>
                <w:sz w:val="22"/>
                <w:szCs w:val="16"/>
              </w:rPr>
              <w:t xml:space="preserve">Porcentaje </w:t>
            </w:r>
            <w:r w:rsidRPr="00852A85">
              <w:rPr>
                <w:rFonts w:ascii="Arial" w:hAnsi="Arial" w:cs="Arial"/>
                <w:color w:val="A6A6A6"/>
                <w:sz w:val="22"/>
                <w:szCs w:val="16"/>
              </w:rPr>
              <w:t>con dos decimales</w:t>
            </w:r>
            <w:r>
              <w:rPr>
                <w:rFonts w:ascii="Arial" w:hAnsi="Arial" w:cs="Arial"/>
                <w:sz w:val="22"/>
                <w:szCs w:val="16"/>
              </w:rPr>
              <w:t xml:space="preserve"> por ciento</w:t>
            </w:r>
          </w:p>
        </w:tc>
      </w:tr>
      <w:tr w:rsidR="009717E7" w:rsidRPr="00852A85" w14:paraId="0E764228" w14:textId="77777777" w:rsidTr="00F70B76">
        <w:trPr>
          <w:trHeight w:val="474"/>
        </w:trPr>
        <w:tc>
          <w:tcPr>
            <w:tcW w:w="3119" w:type="dxa"/>
            <w:vAlign w:val="center"/>
          </w:tcPr>
          <w:p w14:paraId="485E19EB" w14:textId="77777777" w:rsidR="009717E7" w:rsidRPr="00852A85" w:rsidRDefault="009717E7" w:rsidP="004203C9">
            <w:pPr>
              <w:rPr>
                <w:rFonts w:ascii="Arial" w:hAnsi="Arial" w:cs="Arial"/>
                <w:sz w:val="22"/>
                <w:szCs w:val="16"/>
              </w:rPr>
            </w:pPr>
            <w:r w:rsidRPr="00852A85">
              <w:rPr>
                <w:rFonts w:ascii="Arial" w:hAnsi="Arial" w:cs="Arial"/>
                <w:sz w:val="22"/>
                <w:szCs w:val="16"/>
              </w:rPr>
              <w:t>Modalidad</w:t>
            </w:r>
          </w:p>
        </w:tc>
        <w:tc>
          <w:tcPr>
            <w:tcW w:w="5670" w:type="dxa"/>
            <w:vAlign w:val="center"/>
          </w:tcPr>
          <w:p w14:paraId="5D151FEA" w14:textId="77777777" w:rsidR="009717E7" w:rsidRPr="00852A85" w:rsidRDefault="009717E7" w:rsidP="004203C9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 w:rsidRPr="00852A85">
              <w:rPr>
                <w:rFonts w:ascii="Arial" w:hAnsi="Arial" w:cs="Arial"/>
                <w:color w:val="A6A6A6"/>
                <w:sz w:val="22"/>
                <w:szCs w:val="16"/>
              </w:rPr>
              <w:t>Subasta o Directa</w:t>
            </w:r>
          </w:p>
        </w:tc>
      </w:tr>
      <w:tr w:rsidR="009717E7" w:rsidRPr="00852A85" w14:paraId="65F18FC9" w14:textId="77777777" w:rsidTr="00F70B76">
        <w:trPr>
          <w:trHeight w:val="474"/>
        </w:trPr>
        <w:tc>
          <w:tcPr>
            <w:tcW w:w="3119" w:type="dxa"/>
            <w:vAlign w:val="center"/>
          </w:tcPr>
          <w:p w14:paraId="69D4AC74" w14:textId="77777777" w:rsidR="009717E7" w:rsidRPr="00852A85" w:rsidRDefault="009717E7" w:rsidP="004203C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Esquema </w:t>
            </w:r>
          </w:p>
        </w:tc>
        <w:tc>
          <w:tcPr>
            <w:tcW w:w="5670" w:type="dxa"/>
            <w:vAlign w:val="center"/>
          </w:tcPr>
          <w:p w14:paraId="1EE8D9A0" w14:textId="584FBD57" w:rsidR="009717E7" w:rsidRPr="00852A85" w:rsidRDefault="00F55810" w:rsidP="00C64ED1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 w:rsidRPr="006D620A">
              <w:rPr>
                <w:rFonts w:ascii="Arial" w:hAnsi="Arial" w:cs="Arial"/>
                <w:sz w:val="22"/>
                <w:szCs w:val="16"/>
              </w:rPr>
              <w:t>Especial</w:t>
            </w:r>
          </w:p>
        </w:tc>
      </w:tr>
      <w:tr w:rsidR="009717E7" w:rsidRPr="00852A85" w14:paraId="23523C5F" w14:textId="77777777" w:rsidTr="00F70B76">
        <w:trPr>
          <w:trHeight w:val="474"/>
        </w:trPr>
        <w:tc>
          <w:tcPr>
            <w:tcW w:w="3119" w:type="dxa"/>
            <w:vAlign w:val="center"/>
          </w:tcPr>
          <w:p w14:paraId="7F2608DA" w14:textId="4B936DE2" w:rsidR="009717E7" w:rsidRPr="00852A85" w:rsidRDefault="009717E7" w:rsidP="004203C9">
            <w:pPr>
              <w:rPr>
                <w:rFonts w:ascii="Arial" w:hAnsi="Arial" w:cs="Arial"/>
                <w:sz w:val="22"/>
                <w:szCs w:val="16"/>
              </w:rPr>
            </w:pPr>
            <w:r w:rsidRPr="00852A85">
              <w:rPr>
                <w:rFonts w:ascii="Arial" w:hAnsi="Arial" w:cs="Arial"/>
                <w:sz w:val="22"/>
                <w:szCs w:val="16"/>
              </w:rPr>
              <w:t>Fecha de Venta</w:t>
            </w:r>
            <w:r w:rsidR="00F70B76">
              <w:rPr>
                <w:rFonts w:ascii="Arial" w:hAnsi="Arial" w:cs="Arial"/>
                <w:sz w:val="22"/>
                <w:szCs w:val="16"/>
              </w:rPr>
              <w:t xml:space="preserve"> (Negociación)</w:t>
            </w:r>
          </w:p>
        </w:tc>
        <w:tc>
          <w:tcPr>
            <w:tcW w:w="5670" w:type="dxa"/>
            <w:vAlign w:val="center"/>
          </w:tcPr>
          <w:p w14:paraId="712E968B" w14:textId="409E90CF" w:rsidR="009717E7" w:rsidRPr="00852A85" w:rsidRDefault="00B67936" w:rsidP="004203C9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proofErr w:type="spellStart"/>
            <w:r>
              <w:rPr>
                <w:rFonts w:ascii="Arial" w:hAnsi="Arial" w:cs="Arial"/>
                <w:color w:val="A6A6A6"/>
                <w:sz w:val="22"/>
                <w:szCs w:val="16"/>
              </w:rPr>
              <w:t>dd</w:t>
            </w:r>
            <w:proofErr w:type="spellEnd"/>
            <w:r>
              <w:rPr>
                <w:rFonts w:ascii="Arial" w:hAnsi="Arial" w:cs="Arial"/>
                <w:color w:val="A6A6A6"/>
                <w:sz w:val="22"/>
                <w:szCs w:val="16"/>
              </w:rPr>
              <w:t>-m</w:t>
            </w:r>
            <w:r w:rsidR="009717E7" w:rsidRPr="00852A85">
              <w:rPr>
                <w:rFonts w:ascii="Arial" w:hAnsi="Arial" w:cs="Arial"/>
                <w:color w:val="A6A6A6"/>
                <w:sz w:val="22"/>
                <w:szCs w:val="16"/>
              </w:rPr>
              <w:t>m-</w:t>
            </w:r>
            <w:proofErr w:type="spellStart"/>
            <w:r w:rsidR="009717E7" w:rsidRPr="00852A85">
              <w:rPr>
                <w:rFonts w:ascii="Arial" w:hAnsi="Arial" w:cs="Arial"/>
                <w:color w:val="A6A6A6"/>
                <w:sz w:val="22"/>
                <w:szCs w:val="16"/>
              </w:rPr>
              <w:t>aaaa</w:t>
            </w:r>
            <w:proofErr w:type="spellEnd"/>
          </w:p>
        </w:tc>
      </w:tr>
      <w:tr w:rsidR="00F70B76" w:rsidRPr="00852A85" w14:paraId="1C09AC78" w14:textId="77777777" w:rsidTr="00F70B76">
        <w:trPr>
          <w:trHeight w:val="474"/>
        </w:trPr>
        <w:tc>
          <w:tcPr>
            <w:tcW w:w="3119" w:type="dxa"/>
            <w:vAlign w:val="center"/>
          </w:tcPr>
          <w:p w14:paraId="6DF42C7E" w14:textId="50630567" w:rsidR="00F70B76" w:rsidRPr="00852A85" w:rsidRDefault="00F70B76" w:rsidP="004203C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Fecha Liquidación de Venta (Desembolso)</w:t>
            </w:r>
          </w:p>
        </w:tc>
        <w:tc>
          <w:tcPr>
            <w:tcW w:w="5670" w:type="dxa"/>
            <w:vAlign w:val="center"/>
          </w:tcPr>
          <w:p w14:paraId="4B5BCE64" w14:textId="3C236A92" w:rsidR="00F70B76" w:rsidRPr="00852A85" w:rsidRDefault="00B67936" w:rsidP="004203C9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proofErr w:type="spellStart"/>
            <w:r>
              <w:rPr>
                <w:rFonts w:ascii="Arial" w:hAnsi="Arial" w:cs="Arial"/>
                <w:color w:val="A6A6A6"/>
                <w:sz w:val="22"/>
                <w:szCs w:val="16"/>
              </w:rPr>
              <w:t>dd</w:t>
            </w:r>
            <w:proofErr w:type="spellEnd"/>
            <w:r>
              <w:rPr>
                <w:rFonts w:ascii="Arial" w:hAnsi="Arial" w:cs="Arial"/>
                <w:color w:val="A6A6A6"/>
                <w:sz w:val="22"/>
                <w:szCs w:val="16"/>
              </w:rPr>
              <w:t>-m</w:t>
            </w:r>
            <w:r w:rsidR="00F70B76" w:rsidRPr="00F70B76">
              <w:rPr>
                <w:rFonts w:ascii="Arial" w:hAnsi="Arial" w:cs="Arial"/>
                <w:color w:val="A6A6A6"/>
                <w:sz w:val="22"/>
                <w:szCs w:val="16"/>
              </w:rPr>
              <w:t>m-</w:t>
            </w:r>
            <w:proofErr w:type="spellStart"/>
            <w:r w:rsidR="00F70B76" w:rsidRPr="00F70B76">
              <w:rPr>
                <w:rFonts w:ascii="Arial" w:hAnsi="Arial" w:cs="Arial"/>
                <w:color w:val="A6A6A6"/>
                <w:sz w:val="22"/>
                <w:szCs w:val="16"/>
              </w:rPr>
              <w:t>aaaa</w:t>
            </w:r>
            <w:proofErr w:type="spellEnd"/>
          </w:p>
        </w:tc>
      </w:tr>
      <w:tr w:rsidR="009717E7" w:rsidRPr="00852A85" w14:paraId="7C5EBE8F" w14:textId="77777777" w:rsidTr="00F70B76">
        <w:trPr>
          <w:trHeight w:val="474"/>
        </w:trPr>
        <w:tc>
          <w:tcPr>
            <w:tcW w:w="3119" w:type="dxa"/>
            <w:vAlign w:val="center"/>
          </w:tcPr>
          <w:p w14:paraId="24E2D551" w14:textId="77777777" w:rsidR="009717E7" w:rsidRPr="00852A85" w:rsidRDefault="009717E7" w:rsidP="004203C9">
            <w:pPr>
              <w:rPr>
                <w:rFonts w:ascii="Arial" w:hAnsi="Arial" w:cs="Arial"/>
                <w:sz w:val="22"/>
                <w:szCs w:val="16"/>
              </w:rPr>
            </w:pPr>
            <w:r w:rsidRPr="00852A85">
              <w:rPr>
                <w:rFonts w:ascii="Arial" w:hAnsi="Arial" w:cs="Arial"/>
                <w:sz w:val="22"/>
                <w:szCs w:val="16"/>
              </w:rPr>
              <w:t>Fecha de Recompra</w:t>
            </w:r>
          </w:p>
        </w:tc>
        <w:tc>
          <w:tcPr>
            <w:tcW w:w="5670" w:type="dxa"/>
            <w:vAlign w:val="center"/>
          </w:tcPr>
          <w:p w14:paraId="2D1E3EDF" w14:textId="0F3C4F26" w:rsidR="009717E7" w:rsidRPr="00852A85" w:rsidRDefault="00C64ED1" w:rsidP="004203C9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>
              <w:rPr>
                <w:rFonts w:ascii="Arial" w:hAnsi="Arial" w:cs="Arial"/>
                <w:color w:val="A6A6A6"/>
                <w:sz w:val="22"/>
                <w:szCs w:val="16"/>
              </w:rPr>
              <w:t>(</w:t>
            </w:r>
            <w:proofErr w:type="spellStart"/>
            <w:r w:rsidR="00B67936">
              <w:rPr>
                <w:rFonts w:ascii="Arial" w:hAnsi="Arial" w:cs="Arial"/>
                <w:color w:val="A6A6A6"/>
                <w:sz w:val="22"/>
                <w:szCs w:val="16"/>
              </w:rPr>
              <w:t>dd</w:t>
            </w:r>
            <w:proofErr w:type="spellEnd"/>
            <w:r w:rsidR="00B67936">
              <w:rPr>
                <w:rFonts w:ascii="Arial" w:hAnsi="Arial" w:cs="Arial"/>
                <w:color w:val="A6A6A6"/>
                <w:sz w:val="22"/>
                <w:szCs w:val="16"/>
              </w:rPr>
              <w:t>-m</w:t>
            </w:r>
            <w:r w:rsidR="009717E7" w:rsidRPr="00C64ED1">
              <w:rPr>
                <w:rFonts w:ascii="Arial" w:hAnsi="Arial" w:cs="Arial"/>
                <w:color w:val="A6A6A6"/>
                <w:sz w:val="22"/>
                <w:szCs w:val="16"/>
              </w:rPr>
              <w:t>m-</w:t>
            </w:r>
            <w:proofErr w:type="spellStart"/>
            <w:r w:rsidR="009717E7" w:rsidRPr="00C64ED1">
              <w:rPr>
                <w:rFonts w:ascii="Arial" w:hAnsi="Arial" w:cs="Arial"/>
                <w:color w:val="A6A6A6"/>
                <w:sz w:val="22"/>
                <w:szCs w:val="16"/>
              </w:rPr>
              <w:t>aaaa</w:t>
            </w:r>
            <w:proofErr w:type="spellEnd"/>
            <w:r>
              <w:rPr>
                <w:rFonts w:ascii="Arial" w:hAnsi="Arial" w:cs="Arial"/>
                <w:color w:val="A6A6A6"/>
                <w:sz w:val="22"/>
                <w:szCs w:val="16"/>
              </w:rPr>
              <w:t>)</w:t>
            </w:r>
            <w:r w:rsidR="009717E7">
              <w:rPr>
                <w:rFonts w:ascii="Arial" w:hAnsi="Arial" w:cs="Arial"/>
                <w:color w:val="A6A6A6"/>
                <w:sz w:val="22"/>
                <w:szCs w:val="16"/>
              </w:rPr>
              <w:t xml:space="preserve"> Corresponde a la fecha de vencimiento a que refiere el inciso g) del artículo 1 de La Circular. </w:t>
            </w:r>
          </w:p>
        </w:tc>
      </w:tr>
      <w:tr w:rsidR="009717E7" w:rsidRPr="00852A85" w14:paraId="01AB60BA" w14:textId="77777777" w:rsidTr="00F70B76">
        <w:trPr>
          <w:trHeight w:val="474"/>
        </w:trPr>
        <w:tc>
          <w:tcPr>
            <w:tcW w:w="3119" w:type="dxa"/>
            <w:vAlign w:val="center"/>
          </w:tcPr>
          <w:p w14:paraId="23187C18" w14:textId="77777777" w:rsidR="009717E7" w:rsidRPr="00852A85" w:rsidRDefault="009717E7" w:rsidP="004203C9">
            <w:pPr>
              <w:rPr>
                <w:rFonts w:ascii="Arial" w:hAnsi="Arial" w:cs="Arial"/>
                <w:sz w:val="22"/>
                <w:szCs w:val="16"/>
              </w:rPr>
            </w:pPr>
            <w:r w:rsidRPr="00852A85">
              <w:rPr>
                <w:rFonts w:ascii="Arial" w:hAnsi="Arial" w:cs="Arial"/>
                <w:sz w:val="22"/>
                <w:szCs w:val="16"/>
              </w:rPr>
              <w:t>Monto Inicial (de venta)</w:t>
            </w:r>
          </w:p>
        </w:tc>
        <w:tc>
          <w:tcPr>
            <w:tcW w:w="5670" w:type="dxa"/>
            <w:vAlign w:val="center"/>
          </w:tcPr>
          <w:p w14:paraId="7D5D5C50" w14:textId="77777777" w:rsidR="009717E7" w:rsidRPr="00852A85" w:rsidRDefault="009717E7" w:rsidP="004203C9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 w:rsidRPr="00852A85">
              <w:rPr>
                <w:rFonts w:ascii="Arial" w:hAnsi="Arial" w:cs="Arial"/>
                <w:color w:val="A6A6A6"/>
                <w:sz w:val="22"/>
                <w:szCs w:val="16"/>
              </w:rPr>
              <w:t>Unidades con dos decimales</w:t>
            </w:r>
          </w:p>
        </w:tc>
      </w:tr>
      <w:tr w:rsidR="009717E7" w:rsidRPr="00852A85" w14:paraId="45A54337" w14:textId="77777777" w:rsidTr="00F70B76">
        <w:trPr>
          <w:trHeight w:val="474"/>
        </w:trPr>
        <w:tc>
          <w:tcPr>
            <w:tcW w:w="3119" w:type="dxa"/>
            <w:vAlign w:val="center"/>
          </w:tcPr>
          <w:p w14:paraId="323E7BCC" w14:textId="0E90227B" w:rsidR="009717E7" w:rsidRPr="00852A85" w:rsidRDefault="009717E7" w:rsidP="004203C9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Tasa de Interés</w:t>
            </w:r>
            <w:r w:rsidR="00AF045E">
              <w:rPr>
                <w:rFonts w:ascii="Arial" w:hAnsi="Arial" w:cs="Arial"/>
                <w:sz w:val="22"/>
                <w:szCs w:val="16"/>
              </w:rPr>
              <w:t xml:space="preserve"> de la Operación</w:t>
            </w:r>
          </w:p>
        </w:tc>
        <w:tc>
          <w:tcPr>
            <w:tcW w:w="5670" w:type="dxa"/>
            <w:vAlign w:val="center"/>
          </w:tcPr>
          <w:p w14:paraId="2220212B" w14:textId="77777777" w:rsidR="009717E7" w:rsidRPr="00852A85" w:rsidRDefault="009717E7" w:rsidP="004203C9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>
              <w:rPr>
                <w:rFonts w:ascii="Arial" w:hAnsi="Arial" w:cs="Arial"/>
                <w:color w:val="A6A6A6"/>
                <w:sz w:val="22"/>
                <w:szCs w:val="16"/>
              </w:rPr>
              <w:t xml:space="preserve">Porcentaje </w:t>
            </w:r>
            <w:r w:rsidRPr="00852A85">
              <w:rPr>
                <w:rFonts w:ascii="Arial" w:hAnsi="Arial" w:cs="Arial"/>
                <w:color w:val="A6A6A6"/>
                <w:sz w:val="22"/>
                <w:szCs w:val="16"/>
              </w:rPr>
              <w:t>con dos decimales</w:t>
            </w:r>
            <w:r>
              <w:rPr>
                <w:rFonts w:ascii="Arial" w:hAnsi="Arial" w:cs="Arial"/>
                <w:sz w:val="22"/>
                <w:szCs w:val="16"/>
              </w:rPr>
              <w:t xml:space="preserve"> por ciento</w:t>
            </w:r>
          </w:p>
        </w:tc>
      </w:tr>
      <w:tr w:rsidR="009717E7" w:rsidRPr="00852A85" w14:paraId="4CC4C129" w14:textId="77777777" w:rsidTr="00F70B76">
        <w:trPr>
          <w:trHeight w:val="474"/>
        </w:trPr>
        <w:tc>
          <w:tcPr>
            <w:tcW w:w="3119" w:type="dxa"/>
            <w:vAlign w:val="center"/>
          </w:tcPr>
          <w:p w14:paraId="0633ED14" w14:textId="77777777" w:rsidR="009717E7" w:rsidRPr="00316896" w:rsidRDefault="009717E7" w:rsidP="004203C9">
            <w:pPr>
              <w:rPr>
                <w:rFonts w:ascii="Arial" w:hAnsi="Arial" w:cs="Arial"/>
                <w:sz w:val="22"/>
                <w:szCs w:val="16"/>
              </w:rPr>
            </w:pPr>
            <w:r w:rsidRPr="00316896">
              <w:rPr>
                <w:rFonts w:ascii="Arial" w:hAnsi="Arial" w:cs="Arial"/>
                <w:sz w:val="22"/>
                <w:szCs w:val="16"/>
              </w:rPr>
              <w:t xml:space="preserve">Periodo de </w:t>
            </w:r>
            <w:r>
              <w:rPr>
                <w:rFonts w:ascii="Arial" w:hAnsi="Arial" w:cs="Arial"/>
                <w:sz w:val="22"/>
                <w:szCs w:val="16"/>
              </w:rPr>
              <w:t xml:space="preserve">cálculo </w:t>
            </w:r>
            <w:r w:rsidRPr="00316896">
              <w:rPr>
                <w:rFonts w:ascii="Arial" w:hAnsi="Arial" w:cs="Arial"/>
                <w:sz w:val="22"/>
                <w:szCs w:val="16"/>
              </w:rPr>
              <w:t xml:space="preserve"> de Intereses</w:t>
            </w:r>
          </w:p>
        </w:tc>
        <w:tc>
          <w:tcPr>
            <w:tcW w:w="5670" w:type="dxa"/>
            <w:vAlign w:val="center"/>
          </w:tcPr>
          <w:p w14:paraId="111AD0B1" w14:textId="77777777" w:rsidR="009717E7" w:rsidRPr="00316896" w:rsidRDefault="009717E7" w:rsidP="004203C9">
            <w:pPr>
              <w:rPr>
                <w:rFonts w:ascii="Arial" w:hAnsi="Arial" w:cs="Arial"/>
                <w:color w:val="A6A6A6"/>
                <w:sz w:val="22"/>
                <w:szCs w:val="16"/>
              </w:rPr>
            </w:pPr>
            <w:r w:rsidRPr="006D620A">
              <w:rPr>
                <w:rFonts w:ascii="Arial" w:hAnsi="Arial" w:cs="Arial"/>
                <w:sz w:val="22"/>
                <w:szCs w:val="16"/>
              </w:rPr>
              <w:t>Mensual</w:t>
            </w:r>
          </w:p>
        </w:tc>
      </w:tr>
      <w:tr w:rsidR="009717E7" w:rsidRPr="00852A85" w14:paraId="444B5BBA" w14:textId="77777777" w:rsidTr="00F70B76">
        <w:trPr>
          <w:trHeight w:val="474"/>
        </w:trPr>
        <w:tc>
          <w:tcPr>
            <w:tcW w:w="3119" w:type="dxa"/>
            <w:vAlign w:val="center"/>
          </w:tcPr>
          <w:p w14:paraId="333317D7" w14:textId="77777777" w:rsidR="009717E7" w:rsidRPr="00316896" w:rsidRDefault="009717E7" w:rsidP="004203C9">
            <w:pPr>
              <w:rPr>
                <w:rFonts w:ascii="Arial" w:hAnsi="Arial" w:cs="Arial"/>
                <w:sz w:val="22"/>
                <w:szCs w:val="16"/>
              </w:rPr>
            </w:pPr>
            <w:r w:rsidRPr="00316896">
              <w:rPr>
                <w:rFonts w:ascii="Arial" w:hAnsi="Arial" w:cs="Arial"/>
                <w:sz w:val="22"/>
                <w:szCs w:val="16"/>
              </w:rPr>
              <w:t>Periodo de Gracia</w:t>
            </w:r>
          </w:p>
        </w:tc>
        <w:tc>
          <w:tcPr>
            <w:tcW w:w="5670" w:type="dxa"/>
            <w:vAlign w:val="center"/>
          </w:tcPr>
          <w:p w14:paraId="4A2653B2" w14:textId="5AA02E29" w:rsidR="009717E7" w:rsidRDefault="009717E7" w:rsidP="00E412C4">
            <w:pPr>
              <w:pStyle w:val="Prrafodelista"/>
              <w:numPr>
                <w:ilvl w:val="0"/>
                <w:numId w:val="2"/>
              </w:numPr>
              <w:ind w:left="422"/>
              <w:rPr>
                <w:rFonts w:ascii="Arial" w:hAnsi="Arial" w:cs="Arial"/>
                <w:sz w:val="22"/>
                <w:szCs w:val="16"/>
              </w:rPr>
            </w:pPr>
            <w:r w:rsidRPr="00AF045E">
              <w:rPr>
                <w:rFonts w:ascii="Arial" w:hAnsi="Arial" w:cs="Arial"/>
                <w:sz w:val="22"/>
                <w:szCs w:val="16"/>
              </w:rPr>
              <w:t>12 meses para el pago de intereses</w:t>
            </w:r>
            <w:r w:rsidR="00D12A74">
              <w:rPr>
                <w:rFonts w:ascii="Arial" w:hAnsi="Arial" w:cs="Arial"/>
                <w:sz w:val="22"/>
                <w:szCs w:val="16"/>
              </w:rPr>
              <w:t>.</w:t>
            </w:r>
          </w:p>
          <w:p w14:paraId="1C6045F8" w14:textId="4E17AED0" w:rsidR="00FC5B43" w:rsidRPr="00AF045E" w:rsidRDefault="00FC5B43" w:rsidP="00E412C4">
            <w:pPr>
              <w:pStyle w:val="Prrafodelista"/>
              <w:numPr>
                <w:ilvl w:val="0"/>
                <w:numId w:val="2"/>
              </w:numPr>
              <w:ind w:left="422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Los intereses del Periodo de Gracia </w:t>
            </w:r>
            <w:r w:rsidRPr="00AF045E">
              <w:rPr>
                <w:rFonts w:ascii="Arial" w:hAnsi="Arial" w:cs="Arial"/>
                <w:sz w:val="22"/>
                <w:szCs w:val="16"/>
              </w:rPr>
              <w:t>no se capitaliza</w:t>
            </w:r>
            <w:r>
              <w:rPr>
                <w:rFonts w:ascii="Arial" w:hAnsi="Arial" w:cs="Arial"/>
                <w:sz w:val="22"/>
                <w:szCs w:val="16"/>
              </w:rPr>
              <w:t>n</w:t>
            </w:r>
            <w:r w:rsidR="00D12A74">
              <w:rPr>
                <w:rFonts w:ascii="Arial" w:hAnsi="Arial" w:cs="Arial"/>
                <w:sz w:val="22"/>
                <w:szCs w:val="16"/>
              </w:rPr>
              <w:t>.</w:t>
            </w:r>
          </w:p>
          <w:p w14:paraId="4CAC169E" w14:textId="4B1FB698" w:rsidR="00FC5B43" w:rsidRDefault="00FC5B43" w:rsidP="00E412C4">
            <w:pPr>
              <w:pStyle w:val="Prrafodelista"/>
              <w:numPr>
                <w:ilvl w:val="0"/>
                <w:numId w:val="2"/>
              </w:numPr>
              <w:ind w:left="422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El monto acumulado de </w:t>
            </w:r>
            <w:r w:rsidR="009717E7" w:rsidRPr="00AF045E">
              <w:rPr>
                <w:rFonts w:ascii="Arial" w:hAnsi="Arial" w:cs="Arial"/>
                <w:sz w:val="22"/>
                <w:szCs w:val="16"/>
              </w:rPr>
              <w:t>intereses correspondientes al Periodo de Gracia se pagará a prorrata desde el mes 13 hasta la Fecha de Recompra</w:t>
            </w:r>
            <w:r>
              <w:rPr>
                <w:rFonts w:ascii="Arial" w:hAnsi="Arial" w:cs="Arial"/>
                <w:sz w:val="22"/>
                <w:szCs w:val="16"/>
              </w:rPr>
              <w:t xml:space="preserve"> sin devengar intereses.</w:t>
            </w:r>
          </w:p>
          <w:p w14:paraId="3B659D2B" w14:textId="630FAD66" w:rsidR="009717E7" w:rsidRPr="00AF045E" w:rsidRDefault="009717E7" w:rsidP="0037066E">
            <w:pPr>
              <w:pStyle w:val="Prrafodelista"/>
              <w:numPr>
                <w:ilvl w:val="0"/>
                <w:numId w:val="2"/>
              </w:numPr>
              <w:ind w:left="422"/>
              <w:rPr>
                <w:rFonts w:ascii="Arial" w:hAnsi="Arial" w:cs="Arial"/>
                <w:strike/>
                <w:color w:val="A6A6A6"/>
                <w:sz w:val="22"/>
                <w:szCs w:val="16"/>
              </w:rPr>
            </w:pPr>
            <w:r w:rsidRPr="00AF045E">
              <w:rPr>
                <w:rFonts w:ascii="Arial" w:hAnsi="Arial" w:cs="Arial"/>
                <w:sz w:val="22"/>
                <w:szCs w:val="16"/>
              </w:rPr>
              <w:t xml:space="preserve">Si la Fecha de Recompra cambia durante la vigencia de la Operación, </w:t>
            </w:r>
            <w:r w:rsidR="0037066E">
              <w:rPr>
                <w:rFonts w:ascii="Arial" w:hAnsi="Arial" w:cs="Arial"/>
                <w:sz w:val="22"/>
                <w:szCs w:val="16"/>
              </w:rPr>
              <w:t>EL</w:t>
            </w:r>
            <w:r w:rsidRPr="00AF045E">
              <w:rPr>
                <w:rFonts w:ascii="Arial" w:hAnsi="Arial" w:cs="Arial"/>
                <w:sz w:val="22"/>
                <w:szCs w:val="16"/>
              </w:rPr>
              <w:t xml:space="preserve"> BCRP realizará el recalculo de la prorrata.</w:t>
            </w:r>
            <w:r w:rsidRPr="00AF045E">
              <w:rPr>
                <w:rFonts w:ascii="Arial" w:hAnsi="Arial" w:cs="Arial"/>
                <w:strike/>
                <w:sz w:val="22"/>
                <w:szCs w:val="16"/>
              </w:rPr>
              <w:t xml:space="preserve"> </w:t>
            </w:r>
          </w:p>
        </w:tc>
      </w:tr>
    </w:tbl>
    <w:p w14:paraId="1A0AD7FF" w14:textId="77777777" w:rsidR="009717E7" w:rsidRPr="003E57AF" w:rsidRDefault="009717E7" w:rsidP="003E57AF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03FD363" w14:textId="0F9EA4DC" w:rsidR="00735D11" w:rsidRDefault="003E57AF" w:rsidP="00735D11">
      <w:pPr>
        <w:pStyle w:val="Encabezad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SEGUNDA</w:t>
      </w:r>
      <w:r w:rsidR="00735D11" w:rsidRPr="003E57AF">
        <w:rPr>
          <w:rFonts w:ascii="Arial" w:hAnsi="Arial" w:cs="Arial"/>
          <w:sz w:val="22"/>
          <w:szCs w:val="22"/>
          <w:lang w:val="es-ES_tradnl"/>
        </w:rPr>
        <w:t>.- En virtud de las disposiciones referidas en la introducción del presente Contrato Específico, por este acto LA EP cede y transfiere a EL BCRP l</w:t>
      </w:r>
      <w:r>
        <w:rPr>
          <w:rFonts w:ascii="Arial" w:hAnsi="Arial" w:cs="Arial"/>
          <w:sz w:val="22"/>
          <w:szCs w:val="22"/>
          <w:lang w:val="es-ES_tradnl"/>
        </w:rPr>
        <w:t xml:space="preserve">a titularidad del (de los) Certificado(s) de Participación con Garantía del Gobierno Nacional descrito(s) en </w:t>
      </w:r>
      <w:r w:rsidR="00E7395F">
        <w:rPr>
          <w:rFonts w:ascii="Arial" w:hAnsi="Arial" w:cs="Arial"/>
          <w:sz w:val="22"/>
          <w:szCs w:val="22"/>
          <w:lang w:val="es-ES_tradnl"/>
        </w:rPr>
        <w:t xml:space="preserve">el </w:t>
      </w:r>
      <w:r w:rsidR="00D12A74">
        <w:rPr>
          <w:rFonts w:ascii="Arial" w:hAnsi="Arial" w:cs="Arial"/>
          <w:sz w:val="22"/>
          <w:szCs w:val="22"/>
          <w:lang w:val="es-ES_tradnl"/>
        </w:rPr>
        <w:t>A</w:t>
      </w:r>
      <w:r w:rsidR="00E7395F">
        <w:rPr>
          <w:rFonts w:ascii="Arial" w:hAnsi="Arial" w:cs="Arial"/>
          <w:sz w:val="22"/>
          <w:szCs w:val="22"/>
          <w:lang w:val="es-ES_tradnl"/>
        </w:rPr>
        <w:t>nexo</w:t>
      </w:r>
      <w:r>
        <w:rPr>
          <w:rFonts w:ascii="Arial" w:hAnsi="Arial" w:cs="Arial"/>
          <w:sz w:val="22"/>
          <w:szCs w:val="22"/>
          <w:lang w:val="es-ES_tradnl"/>
        </w:rPr>
        <w:t xml:space="preserve">, </w:t>
      </w:r>
      <w:r>
        <w:rPr>
          <w:rFonts w:ascii="Arial" w:hAnsi="Arial" w:cs="Arial"/>
          <w:sz w:val="22"/>
          <w:szCs w:val="22"/>
          <w:lang w:val="es-ES_tradnl"/>
        </w:rPr>
        <w:lastRenderedPageBreak/>
        <w:t>incluyendo todos los derechos que representan</w:t>
      </w:r>
      <w:r w:rsidR="00735D11" w:rsidRPr="003E57AF">
        <w:rPr>
          <w:rFonts w:ascii="Arial" w:hAnsi="Arial" w:cs="Arial"/>
          <w:sz w:val="22"/>
          <w:szCs w:val="22"/>
          <w:lang w:val="es-ES_tradnl"/>
        </w:rPr>
        <w:t xml:space="preserve">. Simultáneamente, LA EP asume la obligación de recomprar </w:t>
      </w:r>
      <w:r w:rsidRPr="003E57AF">
        <w:rPr>
          <w:rFonts w:ascii="Arial" w:hAnsi="Arial" w:cs="Arial"/>
          <w:sz w:val="22"/>
          <w:szCs w:val="22"/>
          <w:lang w:val="es-ES_tradnl"/>
        </w:rPr>
        <w:t>dicho</w:t>
      </w:r>
      <w:r>
        <w:rPr>
          <w:rFonts w:ascii="Arial" w:hAnsi="Arial" w:cs="Arial"/>
          <w:sz w:val="22"/>
          <w:szCs w:val="22"/>
          <w:lang w:val="es-ES_tradnl"/>
        </w:rPr>
        <w:t>(s)</w:t>
      </w:r>
      <w:r w:rsidRPr="003E57AF">
        <w:rPr>
          <w:rFonts w:ascii="Arial" w:hAnsi="Arial" w:cs="Arial"/>
          <w:sz w:val="22"/>
          <w:szCs w:val="22"/>
          <w:lang w:val="es-ES_tradnl"/>
        </w:rPr>
        <w:t xml:space="preserve"> Certificado</w:t>
      </w:r>
      <w:r>
        <w:rPr>
          <w:rFonts w:ascii="Arial" w:hAnsi="Arial" w:cs="Arial"/>
          <w:sz w:val="22"/>
          <w:szCs w:val="22"/>
          <w:lang w:val="es-ES_tradnl"/>
        </w:rPr>
        <w:t>(s)</w:t>
      </w:r>
      <w:r w:rsidR="00735D11" w:rsidRPr="003E57AF">
        <w:rPr>
          <w:rFonts w:ascii="Arial" w:hAnsi="Arial" w:cs="Arial"/>
          <w:sz w:val="22"/>
          <w:szCs w:val="22"/>
          <w:lang w:val="es-ES_tradnl"/>
        </w:rPr>
        <w:t xml:space="preserve"> en los términos contenidos en La Circular y el Contrato Marco antes citados. </w:t>
      </w:r>
    </w:p>
    <w:p w14:paraId="120FC600" w14:textId="7FAC1BBC" w:rsidR="00410003" w:rsidRDefault="00410003" w:rsidP="00735D11">
      <w:pPr>
        <w:pStyle w:val="Encabezad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FAF384C" w14:textId="7644C365" w:rsidR="00E7395F" w:rsidRDefault="00E7395F" w:rsidP="00F55453">
      <w:pPr>
        <w:jc w:val="both"/>
        <w:rPr>
          <w:rFonts w:ascii="Arial" w:hAnsi="Arial" w:cs="Arial"/>
          <w:color w:val="000000"/>
          <w:sz w:val="22"/>
          <w:szCs w:val="22"/>
          <w:lang w:val="es-PE" w:eastAsia="en-US"/>
        </w:rPr>
      </w:pPr>
      <w:r w:rsidRPr="00D12A74">
        <w:rPr>
          <w:rFonts w:ascii="Arial" w:hAnsi="Arial" w:cs="Arial"/>
          <w:color w:val="000000"/>
          <w:sz w:val="22"/>
          <w:szCs w:val="22"/>
          <w:lang w:val="es-PE" w:eastAsia="en-US"/>
        </w:rPr>
        <w:t xml:space="preserve">El Anexo está publicado en el </w:t>
      </w:r>
      <w:r w:rsidR="00D12A74">
        <w:rPr>
          <w:rFonts w:ascii="Arial" w:hAnsi="Arial" w:cs="Arial"/>
          <w:color w:val="000000"/>
          <w:sz w:val="22"/>
          <w:szCs w:val="22"/>
          <w:lang w:val="es-PE" w:eastAsia="en-US"/>
        </w:rPr>
        <w:t>p</w:t>
      </w:r>
      <w:r w:rsidRPr="00D12A74">
        <w:rPr>
          <w:rFonts w:ascii="Arial" w:hAnsi="Arial" w:cs="Arial"/>
          <w:color w:val="000000"/>
          <w:sz w:val="22"/>
          <w:szCs w:val="22"/>
          <w:lang w:val="es-PE" w:eastAsia="en-US"/>
        </w:rPr>
        <w:t>ortal web del Banco Central y debe ser enviado por LA EP en formato Excel por correo electrónico al Departamento de Liquidación y Control de Operaciones Internas,</w:t>
      </w:r>
      <w:r w:rsidR="00710963">
        <w:rPr>
          <w:rFonts w:ascii="Arial" w:hAnsi="Arial" w:cs="Arial"/>
          <w:color w:val="000000"/>
          <w:sz w:val="22"/>
          <w:szCs w:val="22"/>
          <w:lang w:val="es-PE" w:eastAsia="en-US"/>
        </w:rPr>
        <w:t xml:space="preserve"> </w:t>
      </w:r>
      <w:r w:rsidR="00710963" w:rsidRPr="00710963">
        <w:rPr>
          <w:rFonts w:ascii="Arial" w:hAnsi="Arial" w:cs="Arial"/>
          <w:color w:val="0070C0"/>
          <w:sz w:val="22"/>
          <w:szCs w:val="22"/>
          <w:u w:val="single"/>
          <w:lang w:val="es-PE" w:eastAsia="en-US"/>
        </w:rPr>
        <w:t>Dpto.RegistroLiqConOpeInt@bcrp.gob.pe</w:t>
      </w:r>
      <w:r w:rsidRPr="00D12A74">
        <w:rPr>
          <w:rFonts w:ascii="Arial" w:hAnsi="Arial" w:cs="Arial"/>
          <w:color w:val="000000"/>
          <w:sz w:val="22"/>
          <w:szCs w:val="22"/>
          <w:lang w:val="es-PE" w:eastAsia="en-US"/>
        </w:rPr>
        <w:t>, o a través del SIB-FTP en los canales que se indique. Los archivos Excel que se envíen deberán tener la siguiente estructura:</w:t>
      </w:r>
    </w:p>
    <w:p w14:paraId="0C61F443" w14:textId="77777777" w:rsidR="00F55453" w:rsidRPr="00D12A74" w:rsidRDefault="00F55453" w:rsidP="00F55453">
      <w:pPr>
        <w:jc w:val="both"/>
        <w:rPr>
          <w:rFonts w:ascii="Arial" w:hAnsi="Arial" w:cs="Arial"/>
          <w:color w:val="000000"/>
          <w:sz w:val="22"/>
          <w:szCs w:val="22"/>
          <w:lang w:val="es-PE" w:eastAsia="en-US"/>
        </w:rPr>
      </w:pPr>
    </w:p>
    <w:p w14:paraId="5864C3C8" w14:textId="0A33F11D" w:rsidR="00096374" w:rsidRPr="003E4C46" w:rsidRDefault="00096374" w:rsidP="00F55453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  <w:lang w:val="es-PE" w:eastAsia="en-US"/>
        </w:rPr>
      </w:pPr>
      <w:r>
        <w:rPr>
          <w:rFonts w:ascii="Arial" w:hAnsi="Arial" w:cs="Arial"/>
          <w:color w:val="000000"/>
          <w:sz w:val="22"/>
          <w:szCs w:val="22"/>
          <w:lang w:val="es-PE" w:eastAsia="en-US"/>
        </w:rPr>
        <w:t>REPO-CAR-GARGOB-</w:t>
      </w:r>
      <w:r w:rsidRPr="00F92E73">
        <w:rPr>
          <w:rFonts w:ascii="Arial" w:hAnsi="Arial" w:cs="Arial"/>
          <w:color w:val="000000"/>
          <w:sz w:val="22"/>
          <w:szCs w:val="22"/>
          <w:lang w:val="es-PE" w:eastAsia="en-US"/>
        </w:rPr>
        <w:t>ESP</w:t>
      </w:r>
      <w:r w:rsidRPr="003E4C46">
        <w:rPr>
          <w:rFonts w:ascii="Arial" w:hAnsi="Arial" w:cs="Arial"/>
          <w:color w:val="000000"/>
          <w:sz w:val="22"/>
          <w:szCs w:val="22"/>
          <w:lang w:val="es-PE" w:eastAsia="en-US"/>
        </w:rPr>
        <w:t>-[Código de la EP]-[N° de Operación]-</w:t>
      </w:r>
      <w:r w:rsidR="00F04B2E" w:rsidRPr="003E4C46">
        <w:rPr>
          <w:rFonts w:ascii="Arial" w:hAnsi="Arial" w:cs="Arial"/>
          <w:color w:val="000000"/>
          <w:sz w:val="22"/>
          <w:szCs w:val="22"/>
          <w:lang w:val="es-PE" w:eastAsia="en-US"/>
        </w:rPr>
        <w:t>[Tasa Adjudicada]-</w:t>
      </w:r>
      <w:r w:rsidRPr="003E4C46">
        <w:rPr>
          <w:rFonts w:ascii="Arial" w:hAnsi="Arial" w:cs="Arial"/>
          <w:color w:val="000000"/>
          <w:sz w:val="22"/>
          <w:szCs w:val="22"/>
          <w:lang w:val="es-PE" w:eastAsia="en-US"/>
        </w:rPr>
        <w:t>[N°</w:t>
      </w:r>
      <w:r w:rsidR="00877A67" w:rsidRPr="003E4C46">
        <w:rPr>
          <w:rFonts w:ascii="Arial" w:hAnsi="Arial" w:cs="Arial"/>
          <w:color w:val="000000"/>
          <w:sz w:val="22"/>
          <w:szCs w:val="22"/>
          <w:lang w:val="es-PE" w:eastAsia="en-US"/>
        </w:rPr>
        <w:t xml:space="preserve"> </w:t>
      </w:r>
      <w:bookmarkStart w:id="0" w:name="_GoBack"/>
      <w:bookmarkEnd w:id="0"/>
      <w:r w:rsidRPr="003E4C46">
        <w:rPr>
          <w:rFonts w:ascii="Arial" w:hAnsi="Arial" w:cs="Arial"/>
          <w:color w:val="000000"/>
          <w:sz w:val="22"/>
          <w:szCs w:val="22"/>
          <w:lang w:val="es-PE" w:eastAsia="en-US"/>
        </w:rPr>
        <w:t>Tramo]-[N° corre</w:t>
      </w:r>
      <w:r w:rsidR="000630A2" w:rsidRPr="003E4C46">
        <w:rPr>
          <w:rFonts w:ascii="Arial" w:hAnsi="Arial" w:cs="Arial"/>
          <w:color w:val="000000"/>
          <w:sz w:val="22"/>
          <w:szCs w:val="22"/>
          <w:lang w:val="es-PE" w:eastAsia="en-US"/>
        </w:rPr>
        <w:t>lativo de envío del tramo].xlsx</w:t>
      </w:r>
    </w:p>
    <w:p w14:paraId="2CB7C538" w14:textId="25E8D348" w:rsidR="00096374" w:rsidRPr="003E4C46" w:rsidRDefault="00096374" w:rsidP="00F55453">
      <w:pPr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  <w:lang w:val="es-PE" w:eastAsia="en-US"/>
        </w:rPr>
      </w:pPr>
      <w:r w:rsidRPr="003E4C46">
        <w:rPr>
          <w:rFonts w:ascii="Arial" w:hAnsi="Arial" w:cs="Arial"/>
          <w:color w:val="000000"/>
          <w:sz w:val="22"/>
          <w:szCs w:val="22"/>
          <w:lang w:val="es-PE" w:eastAsia="en-US"/>
        </w:rPr>
        <w:t>REPO-CAR-GARGOB-ESP-</w:t>
      </w:r>
      <w:r w:rsidR="00923E23">
        <w:rPr>
          <w:rFonts w:ascii="Arial" w:hAnsi="Arial" w:cs="Arial"/>
          <w:color w:val="000000"/>
          <w:sz w:val="22"/>
          <w:szCs w:val="22"/>
          <w:lang w:val="es-PE" w:eastAsia="en-US"/>
        </w:rPr>
        <w:t>[</w:t>
      </w:r>
      <w:r w:rsidRPr="003E4C46">
        <w:rPr>
          <w:rFonts w:ascii="Arial" w:hAnsi="Arial" w:cs="Arial"/>
          <w:color w:val="000000"/>
          <w:sz w:val="22"/>
          <w:szCs w:val="22"/>
          <w:lang w:val="es-PE" w:eastAsia="en-US"/>
        </w:rPr>
        <w:t>000#</w:t>
      </w:r>
      <w:r w:rsidR="00923E23">
        <w:rPr>
          <w:rFonts w:ascii="Arial" w:hAnsi="Arial" w:cs="Arial"/>
          <w:color w:val="000000"/>
          <w:sz w:val="22"/>
          <w:szCs w:val="22"/>
          <w:lang w:val="es-PE" w:eastAsia="en-US"/>
        </w:rPr>
        <w:t>]</w:t>
      </w:r>
      <w:r w:rsidRPr="003E4C46">
        <w:rPr>
          <w:rFonts w:ascii="Arial" w:hAnsi="Arial" w:cs="Arial"/>
          <w:color w:val="000000"/>
          <w:sz w:val="22"/>
          <w:szCs w:val="22"/>
          <w:lang w:val="es-PE" w:eastAsia="en-US"/>
        </w:rPr>
        <w:t>-</w:t>
      </w:r>
      <w:r w:rsidR="00923E23">
        <w:rPr>
          <w:rFonts w:ascii="Arial" w:hAnsi="Arial" w:cs="Arial"/>
          <w:color w:val="000000"/>
          <w:sz w:val="22"/>
          <w:szCs w:val="22"/>
          <w:lang w:val="es-PE" w:eastAsia="en-US"/>
        </w:rPr>
        <w:t>[</w:t>
      </w:r>
      <w:r w:rsidR="00923E23" w:rsidRPr="003E4C46">
        <w:rPr>
          <w:rFonts w:ascii="Arial" w:hAnsi="Arial" w:cs="Arial"/>
          <w:color w:val="000000"/>
          <w:sz w:val="22"/>
          <w:szCs w:val="22"/>
          <w:lang w:val="es-PE" w:eastAsia="en-US"/>
        </w:rPr>
        <w:t>000#</w:t>
      </w:r>
      <w:r w:rsidR="00923E23">
        <w:rPr>
          <w:rFonts w:ascii="Arial" w:hAnsi="Arial" w:cs="Arial"/>
          <w:color w:val="000000"/>
          <w:sz w:val="22"/>
          <w:szCs w:val="22"/>
          <w:lang w:val="es-PE" w:eastAsia="en-US"/>
        </w:rPr>
        <w:t>]-[</w:t>
      </w:r>
      <w:r w:rsidR="00923E23" w:rsidRPr="003E4C46">
        <w:rPr>
          <w:rFonts w:ascii="Arial" w:hAnsi="Arial" w:cs="Arial"/>
          <w:color w:val="000000"/>
          <w:sz w:val="22"/>
          <w:szCs w:val="22"/>
          <w:lang w:val="es-PE" w:eastAsia="en-US"/>
        </w:rPr>
        <w:t>000#</w:t>
      </w:r>
      <w:r w:rsidR="00923E23">
        <w:rPr>
          <w:rFonts w:ascii="Arial" w:hAnsi="Arial" w:cs="Arial"/>
          <w:color w:val="000000"/>
          <w:sz w:val="22"/>
          <w:szCs w:val="22"/>
          <w:lang w:val="es-PE" w:eastAsia="en-US"/>
        </w:rPr>
        <w:t>]-[</w:t>
      </w:r>
      <w:r w:rsidR="00923E23" w:rsidRPr="003E4C46">
        <w:rPr>
          <w:rFonts w:ascii="Arial" w:hAnsi="Arial" w:cs="Arial"/>
          <w:color w:val="000000"/>
          <w:sz w:val="22"/>
          <w:szCs w:val="22"/>
          <w:lang w:val="es-PE" w:eastAsia="en-US"/>
        </w:rPr>
        <w:t>000#</w:t>
      </w:r>
      <w:r w:rsidR="00923E23">
        <w:rPr>
          <w:rFonts w:ascii="Arial" w:hAnsi="Arial" w:cs="Arial"/>
          <w:color w:val="000000"/>
          <w:sz w:val="22"/>
          <w:szCs w:val="22"/>
          <w:lang w:val="es-PE" w:eastAsia="en-US"/>
        </w:rPr>
        <w:t>].</w:t>
      </w:r>
      <w:r w:rsidRPr="003E4C46">
        <w:rPr>
          <w:rFonts w:ascii="Arial" w:hAnsi="Arial" w:cs="Arial"/>
          <w:color w:val="000000"/>
          <w:sz w:val="22"/>
          <w:szCs w:val="22"/>
          <w:lang w:val="es-PE" w:eastAsia="en-US"/>
        </w:rPr>
        <w:t>xlsx​</w:t>
      </w:r>
    </w:p>
    <w:p w14:paraId="24E45A53" w14:textId="77777777" w:rsidR="00F55453" w:rsidRDefault="00F55453" w:rsidP="00F55453">
      <w:pPr>
        <w:pStyle w:val="Encabezad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2B24BB9" w14:textId="352A2B5B" w:rsidR="00DA1B30" w:rsidRPr="0077051F" w:rsidRDefault="00410003" w:rsidP="00F55453">
      <w:pPr>
        <w:pStyle w:val="Encabezado"/>
        <w:jc w:val="both"/>
        <w:rPr>
          <w:rFonts w:ascii="Arial" w:hAnsi="Arial" w:cs="Arial"/>
          <w:sz w:val="22"/>
          <w:szCs w:val="22"/>
        </w:rPr>
      </w:pPr>
      <w:r w:rsidRPr="006D620A">
        <w:rPr>
          <w:rFonts w:ascii="Arial" w:hAnsi="Arial" w:cs="Arial"/>
          <w:sz w:val="22"/>
          <w:szCs w:val="22"/>
          <w:lang w:val="es-ES_tradnl"/>
        </w:rPr>
        <w:t xml:space="preserve">LA EP sólo podrá registrar </w:t>
      </w:r>
      <w:r>
        <w:rPr>
          <w:rFonts w:ascii="Arial" w:hAnsi="Arial" w:cs="Arial"/>
          <w:sz w:val="22"/>
          <w:szCs w:val="22"/>
          <w:lang w:val="es-ES_tradnl"/>
        </w:rPr>
        <w:t xml:space="preserve">como parte del fideicomiso de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titulización</w:t>
      </w:r>
      <w:proofErr w:type="spellEnd"/>
      <w:r w:rsidR="00F122E0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90909">
        <w:rPr>
          <w:rFonts w:ascii="Arial" w:hAnsi="Arial" w:cs="Arial"/>
          <w:sz w:val="22"/>
          <w:szCs w:val="22"/>
          <w:lang w:val="es-ES_tradnl"/>
        </w:rPr>
        <w:t>hasta dos créditos</w:t>
      </w:r>
      <w:r w:rsidRPr="006D620A">
        <w:rPr>
          <w:rFonts w:ascii="Arial" w:hAnsi="Arial" w:cs="Arial"/>
          <w:sz w:val="22"/>
          <w:szCs w:val="22"/>
          <w:lang w:val="es-ES_tradnl"/>
        </w:rPr>
        <w:t xml:space="preserve"> por empresa deudora para todas las Operaciones realizadas al amparo de La Circular,</w:t>
      </w:r>
      <w:r w:rsidR="00AF045E" w:rsidRPr="00AF045E">
        <w:rPr>
          <w:rFonts w:ascii="Arial" w:hAnsi="Arial" w:cs="Arial"/>
          <w:sz w:val="22"/>
          <w:szCs w:val="22"/>
          <w:lang w:val="es-ES_tradnl"/>
        </w:rPr>
        <w:t xml:space="preserve"> sea bajo el esquema regular o el esquema especial</w:t>
      </w:r>
      <w:r w:rsidRPr="0046373D">
        <w:rPr>
          <w:rFonts w:ascii="Arial" w:hAnsi="Arial" w:cs="Arial"/>
          <w:sz w:val="22"/>
          <w:szCs w:val="22"/>
          <w:lang w:val="es-ES_tradnl"/>
        </w:rPr>
        <w:t>.</w:t>
      </w:r>
      <w:r w:rsidRPr="006D620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090909" w:rsidRPr="00090909">
        <w:rPr>
          <w:rFonts w:ascii="Arial" w:hAnsi="Arial" w:cs="Arial"/>
          <w:sz w:val="22"/>
          <w:szCs w:val="22"/>
          <w:lang w:val="es-ES_tradnl"/>
        </w:rPr>
        <w:t>Sin embargo, sólo podrán registrar un crédito  las empresas que hayan accedido a créditos garantizados por el Programa Reactiva por primera vez desde el 2 de junio de 2020, fecha en que entró en vigencia la modificación del Reglamento Operativo del Programa R</w:t>
      </w:r>
      <w:r w:rsidR="003B6F96">
        <w:rPr>
          <w:rFonts w:ascii="Arial" w:hAnsi="Arial" w:cs="Arial"/>
          <w:sz w:val="22"/>
          <w:szCs w:val="22"/>
          <w:lang w:val="es-ES_tradnl"/>
        </w:rPr>
        <w:t>eactiva, aprobado por</w:t>
      </w:r>
      <w:r w:rsidR="00090909" w:rsidRPr="00090909">
        <w:rPr>
          <w:rFonts w:ascii="Arial" w:hAnsi="Arial" w:cs="Arial"/>
          <w:sz w:val="22"/>
          <w:szCs w:val="22"/>
          <w:lang w:val="es-ES_tradnl"/>
        </w:rPr>
        <w:t xml:space="preserve"> Resolución Ministerial N° 165-2020-EF/15</w:t>
      </w:r>
      <w:r w:rsidR="00090909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70798A" w:rsidRPr="0070798A">
        <w:rPr>
          <w:rFonts w:ascii="Arial" w:hAnsi="Arial" w:cs="Arial"/>
          <w:sz w:val="22"/>
          <w:szCs w:val="22"/>
          <w:lang w:val="es-ES_tradnl"/>
        </w:rPr>
        <w:t>Los montos de los créditos que forman parte de la presente Operación deben ser 100% de libre disponibilidad para la</w:t>
      </w:r>
      <w:r w:rsidR="0070798A">
        <w:rPr>
          <w:rFonts w:ascii="Arial" w:hAnsi="Arial" w:cs="Arial"/>
          <w:sz w:val="22"/>
          <w:szCs w:val="22"/>
          <w:lang w:val="es-ES_tradnl"/>
        </w:rPr>
        <w:t>s</w:t>
      </w:r>
      <w:r w:rsidR="0070798A" w:rsidRPr="0070798A">
        <w:rPr>
          <w:rFonts w:ascii="Arial" w:hAnsi="Arial" w:cs="Arial"/>
          <w:sz w:val="22"/>
          <w:szCs w:val="22"/>
          <w:lang w:val="es-ES_tradnl"/>
        </w:rPr>
        <w:t xml:space="preserve"> empresa</w:t>
      </w:r>
      <w:r w:rsidR="0070798A">
        <w:rPr>
          <w:rFonts w:ascii="Arial" w:hAnsi="Arial" w:cs="Arial"/>
          <w:sz w:val="22"/>
          <w:szCs w:val="22"/>
          <w:lang w:val="es-ES_tradnl"/>
        </w:rPr>
        <w:t>s</w:t>
      </w:r>
      <w:r w:rsidR="0070798A" w:rsidRPr="0070798A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0798A" w:rsidRPr="0077051F">
        <w:rPr>
          <w:rFonts w:ascii="Arial" w:hAnsi="Arial" w:cs="Arial"/>
          <w:sz w:val="22"/>
          <w:szCs w:val="22"/>
          <w:lang w:val="es-ES_tradnl"/>
        </w:rPr>
        <w:t>deudoras.</w:t>
      </w:r>
      <w:r w:rsidR="00DA1B30" w:rsidRPr="0077051F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DA1B30" w:rsidRPr="0077051F">
        <w:rPr>
          <w:rFonts w:ascii="Arial" w:hAnsi="Arial" w:cs="Arial"/>
          <w:sz w:val="22"/>
          <w:szCs w:val="22"/>
        </w:rPr>
        <w:t xml:space="preserve">Asimismo, se precisa que LA EP no deberá capitalizar los intereses del periodo de gracia que se cobran al deudor, en concordancia con lo previsto en la CLAUSULA </w:t>
      </w:r>
      <w:r w:rsidR="006C41CF" w:rsidRPr="0077051F">
        <w:rPr>
          <w:rFonts w:ascii="Arial" w:hAnsi="Arial" w:cs="Arial"/>
          <w:sz w:val="22"/>
          <w:szCs w:val="22"/>
        </w:rPr>
        <w:t>PRIMERA</w:t>
      </w:r>
      <w:r w:rsidR="00CE5680">
        <w:rPr>
          <w:rFonts w:ascii="Arial" w:hAnsi="Arial" w:cs="Arial"/>
          <w:sz w:val="22"/>
          <w:szCs w:val="22"/>
        </w:rPr>
        <w:t xml:space="preserve"> del presente Contrato Específico </w:t>
      </w:r>
      <w:r w:rsidR="00DA1B30" w:rsidRPr="0077051F">
        <w:rPr>
          <w:rFonts w:ascii="Arial" w:hAnsi="Arial" w:cs="Arial"/>
          <w:sz w:val="22"/>
          <w:szCs w:val="22"/>
        </w:rPr>
        <w:t xml:space="preserve">para el periodo de gracia de la Operación con </w:t>
      </w:r>
      <w:r w:rsidR="0037066E">
        <w:rPr>
          <w:rFonts w:ascii="Arial" w:hAnsi="Arial" w:cs="Arial"/>
          <w:sz w:val="22"/>
          <w:szCs w:val="22"/>
        </w:rPr>
        <w:t>EL</w:t>
      </w:r>
      <w:r w:rsidR="00DA1B30" w:rsidRPr="0077051F">
        <w:rPr>
          <w:rFonts w:ascii="Arial" w:hAnsi="Arial" w:cs="Arial"/>
          <w:sz w:val="22"/>
          <w:szCs w:val="22"/>
        </w:rPr>
        <w:t xml:space="preserve"> BCRP.</w:t>
      </w:r>
    </w:p>
    <w:p w14:paraId="7E379050" w14:textId="77777777" w:rsidR="00410003" w:rsidRPr="0077051F" w:rsidRDefault="00410003" w:rsidP="00410003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4A857D5" w14:textId="272947E8" w:rsidR="00410003" w:rsidRPr="003E57AF" w:rsidRDefault="00410003" w:rsidP="00410003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7051F">
        <w:rPr>
          <w:rFonts w:ascii="Arial" w:hAnsi="Arial" w:cs="Arial"/>
          <w:sz w:val="22"/>
          <w:szCs w:val="22"/>
          <w:lang w:val="es-ES_tradnl"/>
        </w:rPr>
        <w:t>Las tasas de interés de los créditos que forman parte del fideicomiso de titulización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6D620A">
        <w:rPr>
          <w:rFonts w:ascii="Arial" w:hAnsi="Arial" w:cs="Arial"/>
          <w:sz w:val="22"/>
          <w:szCs w:val="22"/>
          <w:lang w:val="es-ES_tradnl"/>
        </w:rPr>
        <w:t>están expresad</w:t>
      </w:r>
      <w:r w:rsidR="002D7C95">
        <w:rPr>
          <w:rFonts w:ascii="Arial" w:hAnsi="Arial" w:cs="Arial"/>
          <w:sz w:val="22"/>
          <w:szCs w:val="22"/>
          <w:lang w:val="es-ES_tradnl"/>
        </w:rPr>
        <w:t>a</w:t>
      </w:r>
      <w:r w:rsidRPr="006D620A">
        <w:rPr>
          <w:rFonts w:ascii="Arial" w:hAnsi="Arial" w:cs="Arial"/>
          <w:sz w:val="22"/>
          <w:szCs w:val="22"/>
          <w:lang w:val="es-ES_tradnl"/>
        </w:rPr>
        <w:t>s en términos efectivos anuales y no incluyen la comisión por la garantía del Gobierno Nacional. LA EP se obliga a no modificar las tasas de interés de los créditos transferidos durante la vigencia de la Operación y a no realizar el cobro de cargos, portes, comisiones o cualquier otro costo distinto a la comisión por la garantía del Gobierno Nacional.</w:t>
      </w:r>
    </w:p>
    <w:p w14:paraId="4B9D4B0A" w14:textId="77777777" w:rsidR="00735D11" w:rsidRPr="003E57AF" w:rsidRDefault="00735D11" w:rsidP="00E379FE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C54A2CF" w14:textId="77777777" w:rsidR="00735D11" w:rsidRPr="00D12A74" w:rsidRDefault="00735D11" w:rsidP="00735D11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D12A74">
        <w:rPr>
          <w:rFonts w:ascii="Arial" w:hAnsi="Arial" w:cs="Arial"/>
          <w:b/>
          <w:bCs/>
          <w:sz w:val="22"/>
          <w:szCs w:val="22"/>
          <w:lang w:val="es-ES_tradnl"/>
        </w:rPr>
        <w:t>TERCERA</w:t>
      </w:r>
      <w:r w:rsidRPr="00D12A74">
        <w:rPr>
          <w:rFonts w:ascii="Arial" w:hAnsi="Arial" w:cs="Arial"/>
          <w:sz w:val="22"/>
          <w:szCs w:val="22"/>
          <w:lang w:val="es-ES_tradnl"/>
        </w:rPr>
        <w:t xml:space="preserve">.- Previo al desembolso, </w:t>
      </w:r>
      <w:r w:rsidR="003E57AF" w:rsidRPr="00D12A74">
        <w:rPr>
          <w:rFonts w:ascii="Arial" w:hAnsi="Arial" w:cs="Arial"/>
          <w:sz w:val="22"/>
          <w:szCs w:val="22"/>
          <w:lang w:val="es-ES_tradnl"/>
        </w:rPr>
        <w:t>COFIDE (Fiduciario)</w:t>
      </w:r>
      <w:r w:rsidRPr="00D12A74">
        <w:rPr>
          <w:rFonts w:ascii="Arial" w:hAnsi="Arial" w:cs="Arial"/>
          <w:sz w:val="22"/>
          <w:szCs w:val="22"/>
          <w:lang w:val="es-ES_tradnl"/>
        </w:rPr>
        <w:t xml:space="preserve"> deberá haber </w:t>
      </w:r>
      <w:r w:rsidR="003E57AF" w:rsidRPr="00D12A74">
        <w:rPr>
          <w:rFonts w:ascii="Arial" w:hAnsi="Arial" w:cs="Arial"/>
          <w:sz w:val="22"/>
          <w:szCs w:val="22"/>
          <w:lang w:val="es-ES_tradnl"/>
        </w:rPr>
        <w:t xml:space="preserve">confirmado a </w:t>
      </w:r>
      <w:r w:rsidRPr="00D12A74">
        <w:rPr>
          <w:rFonts w:ascii="Arial" w:hAnsi="Arial" w:cs="Arial"/>
          <w:sz w:val="22"/>
          <w:szCs w:val="22"/>
          <w:lang w:val="es-ES_tradnl"/>
        </w:rPr>
        <w:t xml:space="preserve">EL BCRP </w:t>
      </w:r>
      <w:r w:rsidR="003E57AF" w:rsidRPr="00D12A74">
        <w:rPr>
          <w:rFonts w:ascii="Arial" w:hAnsi="Arial" w:cs="Arial"/>
          <w:sz w:val="22"/>
          <w:szCs w:val="22"/>
          <w:lang w:val="es-ES_tradnl"/>
        </w:rPr>
        <w:t xml:space="preserve">la transferencia de titularidad del (de </w:t>
      </w:r>
      <w:r w:rsidRPr="00D12A74">
        <w:rPr>
          <w:rFonts w:ascii="Arial" w:hAnsi="Arial" w:cs="Arial"/>
          <w:sz w:val="22"/>
          <w:szCs w:val="22"/>
          <w:lang w:val="es-ES_tradnl"/>
        </w:rPr>
        <w:t>los</w:t>
      </w:r>
      <w:r w:rsidR="003E57AF" w:rsidRPr="00D12A74">
        <w:rPr>
          <w:rFonts w:ascii="Arial" w:hAnsi="Arial" w:cs="Arial"/>
          <w:sz w:val="22"/>
          <w:szCs w:val="22"/>
          <w:lang w:val="es-ES_tradnl"/>
        </w:rPr>
        <w:t>) Certificado(s)</w:t>
      </w:r>
      <w:r w:rsidRPr="00D12A74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E57AF" w:rsidRPr="00D12A74">
        <w:rPr>
          <w:rFonts w:ascii="Arial" w:hAnsi="Arial" w:cs="Arial"/>
          <w:sz w:val="22"/>
          <w:szCs w:val="22"/>
          <w:lang w:val="es-ES_tradnl"/>
        </w:rPr>
        <w:t>en favor de EL BCRP</w:t>
      </w:r>
      <w:r w:rsidRPr="00D12A74">
        <w:rPr>
          <w:rFonts w:ascii="Arial" w:hAnsi="Arial" w:cs="Arial"/>
          <w:sz w:val="22"/>
          <w:szCs w:val="22"/>
          <w:lang w:val="es-ES_tradnl"/>
        </w:rPr>
        <w:t>.</w:t>
      </w:r>
    </w:p>
    <w:p w14:paraId="4CAF4C38" w14:textId="77777777" w:rsidR="00F55810" w:rsidRPr="00D12A74" w:rsidRDefault="00F55810" w:rsidP="00735D11">
      <w:pPr>
        <w:jc w:val="both"/>
        <w:rPr>
          <w:rFonts w:ascii="Arial" w:hAnsi="Arial" w:cs="Arial"/>
          <w:sz w:val="24"/>
          <w:szCs w:val="22"/>
          <w:lang w:val="es-ES_tradnl"/>
        </w:rPr>
      </w:pPr>
    </w:p>
    <w:p w14:paraId="7C0BE259" w14:textId="26D6F239" w:rsidR="00F55810" w:rsidRDefault="00F55810" w:rsidP="00735D11">
      <w:pPr>
        <w:jc w:val="both"/>
        <w:rPr>
          <w:rFonts w:ascii="Arial" w:hAnsi="Arial" w:cs="Arial"/>
          <w:sz w:val="22"/>
          <w:szCs w:val="22"/>
          <w:lang w:val="es-PE"/>
        </w:rPr>
      </w:pPr>
      <w:r w:rsidRPr="00D12A74">
        <w:rPr>
          <w:rFonts w:ascii="Arial" w:hAnsi="Arial" w:cs="Arial"/>
          <w:b/>
          <w:sz w:val="22"/>
          <w:szCs w:val="22"/>
        </w:rPr>
        <w:t>CUARTA</w:t>
      </w:r>
      <w:r w:rsidRPr="00D12A74">
        <w:rPr>
          <w:rFonts w:ascii="Arial" w:hAnsi="Arial" w:cs="Arial"/>
          <w:b/>
          <w:bCs/>
          <w:sz w:val="22"/>
          <w:szCs w:val="22"/>
          <w:lang w:val="es-ES_tradnl"/>
        </w:rPr>
        <w:t xml:space="preserve">.- </w:t>
      </w:r>
      <w:r w:rsidRPr="00D12A74">
        <w:rPr>
          <w:rFonts w:ascii="Arial" w:hAnsi="Arial" w:cs="Arial"/>
          <w:bCs/>
          <w:sz w:val="22"/>
          <w:szCs w:val="22"/>
          <w:lang w:val="es-ES_tradnl"/>
        </w:rPr>
        <w:t>S</w:t>
      </w:r>
      <w:r w:rsidRPr="00D12A74">
        <w:rPr>
          <w:rFonts w:ascii="Arial" w:hAnsi="Arial" w:cs="Arial"/>
          <w:sz w:val="22"/>
          <w:szCs w:val="22"/>
          <w:lang w:val="es-PE"/>
        </w:rPr>
        <w:t xml:space="preserve">i el valor de los Certificados de Participación, calculado periódicamente según lo establecido en el Artículo 4 de la Circular, es menor al monto vigente de la Operación, </w:t>
      </w:r>
      <w:r w:rsidR="0037066E">
        <w:rPr>
          <w:rFonts w:ascii="Arial" w:hAnsi="Arial" w:cs="Arial"/>
          <w:sz w:val="22"/>
          <w:szCs w:val="22"/>
          <w:lang w:val="es-PE"/>
        </w:rPr>
        <w:t>EL</w:t>
      </w:r>
      <w:r w:rsidRPr="00D12A74">
        <w:rPr>
          <w:rFonts w:ascii="Arial" w:hAnsi="Arial" w:cs="Arial"/>
          <w:sz w:val="22"/>
          <w:szCs w:val="22"/>
          <w:lang w:val="es-PE"/>
        </w:rPr>
        <w:t xml:space="preserve"> BCRP procederá a pre-cancelar la diferencia e intereses corridos, la que se llevará a cabo mediante el procedimiento señalado en la Cláusula Quinta del presente Contrato Específico.</w:t>
      </w:r>
    </w:p>
    <w:p w14:paraId="5E0F108C" w14:textId="19B99628" w:rsidR="00B33731" w:rsidRDefault="00B33731" w:rsidP="00B33731">
      <w:pPr>
        <w:jc w:val="both"/>
        <w:rPr>
          <w:rFonts w:ascii="Arial" w:hAnsi="Arial" w:cs="Arial"/>
          <w:sz w:val="24"/>
          <w:szCs w:val="22"/>
          <w:lang w:val="es-ES_tradnl"/>
        </w:rPr>
      </w:pPr>
    </w:p>
    <w:p w14:paraId="7FC23FD0" w14:textId="5B20B82D" w:rsidR="002C023C" w:rsidRDefault="002C023C" w:rsidP="00B33731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2C023C">
        <w:rPr>
          <w:rFonts w:ascii="Arial" w:hAnsi="Arial" w:cs="Arial"/>
          <w:sz w:val="22"/>
          <w:szCs w:val="22"/>
          <w:lang w:val="es-ES_tradnl"/>
        </w:rPr>
        <w:t xml:space="preserve">Para fines de dicha valorización, </w:t>
      </w:r>
      <w:r>
        <w:rPr>
          <w:rFonts w:ascii="Arial" w:hAnsi="Arial" w:cs="Arial"/>
          <w:sz w:val="22"/>
          <w:szCs w:val="22"/>
          <w:lang w:val="es-ES_tradnl"/>
        </w:rPr>
        <w:t xml:space="preserve">se considerará el saldo pendiente de pago de los créditos que forman </w:t>
      </w:r>
      <w:r w:rsidR="00986EC9">
        <w:rPr>
          <w:rFonts w:ascii="Arial" w:hAnsi="Arial" w:cs="Arial"/>
          <w:sz w:val="22"/>
          <w:szCs w:val="22"/>
          <w:lang w:val="es-ES_tradnl"/>
        </w:rPr>
        <w:t xml:space="preserve">parte del fideicomiso de titulización, incluidos aquellos que presenten incumplimientos hasta que se ejecute la garantía del Gobierno Nacional. </w:t>
      </w:r>
    </w:p>
    <w:p w14:paraId="05F6D9C9" w14:textId="77777777" w:rsidR="00270C6C" w:rsidRDefault="00270C6C" w:rsidP="00735D11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A0DADC9" w14:textId="416C6313" w:rsidR="00270C6C" w:rsidRPr="00C64ED1" w:rsidRDefault="00F55810" w:rsidP="00270C6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ES_tradnl"/>
        </w:rPr>
        <w:t>QUINTA</w:t>
      </w:r>
      <w:r w:rsidR="00270C6C" w:rsidRPr="00FC3B08">
        <w:rPr>
          <w:rFonts w:ascii="Arial" w:hAnsi="Arial" w:cs="Arial"/>
          <w:sz w:val="22"/>
          <w:szCs w:val="22"/>
        </w:rPr>
        <w:t xml:space="preserve">.- </w:t>
      </w:r>
      <w:r w:rsidR="00270C6C">
        <w:rPr>
          <w:rFonts w:ascii="Arial" w:hAnsi="Arial" w:cs="Arial"/>
          <w:bCs/>
          <w:sz w:val="22"/>
          <w:szCs w:val="22"/>
        </w:rPr>
        <w:t>P</w:t>
      </w:r>
      <w:r w:rsidR="00270C6C" w:rsidRPr="00FC3B08">
        <w:rPr>
          <w:rFonts w:ascii="Arial" w:hAnsi="Arial" w:cs="Arial"/>
          <w:bCs/>
          <w:sz w:val="22"/>
          <w:szCs w:val="22"/>
        </w:rPr>
        <w:t xml:space="preserve">ara efectos de lo dispuesto en el </w:t>
      </w:r>
      <w:r w:rsidR="00AF045E">
        <w:rPr>
          <w:rFonts w:ascii="Arial" w:hAnsi="Arial" w:cs="Arial"/>
          <w:bCs/>
          <w:sz w:val="22"/>
          <w:szCs w:val="22"/>
        </w:rPr>
        <w:t>A</w:t>
      </w:r>
      <w:r w:rsidR="00270C6C" w:rsidRPr="00FC3B08">
        <w:rPr>
          <w:rFonts w:ascii="Arial" w:hAnsi="Arial" w:cs="Arial"/>
          <w:bCs/>
          <w:sz w:val="22"/>
          <w:szCs w:val="22"/>
        </w:rPr>
        <w:t xml:space="preserve">rtículo 22 de </w:t>
      </w:r>
      <w:r w:rsidR="00270C6C">
        <w:rPr>
          <w:rFonts w:ascii="Arial" w:hAnsi="Arial" w:cs="Arial"/>
          <w:bCs/>
          <w:sz w:val="22"/>
          <w:szCs w:val="22"/>
        </w:rPr>
        <w:t>L</w:t>
      </w:r>
      <w:r w:rsidR="00270C6C" w:rsidRPr="00FC3B08">
        <w:rPr>
          <w:rFonts w:ascii="Arial" w:hAnsi="Arial" w:cs="Arial"/>
          <w:bCs/>
          <w:sz w:val="22"/>
          <w:szCs w:val="22"/>
        </w:rPr>
        <w:t>a Circular</w:t>
      </w:r>
      <w:r w:rsidR="00270C6C">
        <w:rPr>
          <w:rFonts w:ascii="Arial" w:hAnsi="Arial" w:cs="Arial"/>
          <w:bCs/>
          <w:sz w:val="22"/>
          <w:szCs w:val="22"/>
        </w:rPr>
        <w:t>,</w:t>
      </w:r>
      <w:r w:rsidR="00270C6C" w:rsidRPr="00FC3B08">
        <w:rPr>
          <w:rFonts w:ascii="Arial" w:hAnsi="Arial" w:cs="Arial"/>
          <w:bCs/>
          <w:sz w:val="22"/>
          <w:szCs w:val="22"/>
        </w:rPr>
        <w:t xml:space="preserve"> </w:t>
      </w:r>
      <w:r w:rsidR="00270C6C" w:rsidRPr="00FC3B08">
        <w:rPr>
          <w:rFonts w:ascii="Arial" w:hAnsi="Arial" w:cs="Arial"/>
          <w:sz w:val="22"/>
          <w:szCs w:val="22"/>
        </w:rPr>
        <w:t xml:space="preserve">las recompras se efectuarán mediante cargo automático en la cuenta corriente en moneda nacional </w:t>
      </w:r>
      <w:r w:rsidR="00270C6C">
        <w:rPr>
          <w:rFonts w:ascii="Arial" w:hAnsi="Arial" w:cs="Arial"/>
          <w:sz w:val="22"/>
          <w:szCs w:val="22"/>
        </w:rPr>
        <w:t>y</w:t>
      </w:r>
      <w:r w:rsidR="00270C6C" w:rsidRPr="00FC3B08">
        <w:rPr>
          <w:rFonts w:ascii="Arial" w:hAnsi="Arial" w:cs="Arial"/>
          <w:sz w:val="22"/>
          <w:szCs w:val="22"/>
        </w:rPr>
        <w:t xml:space="preserve">, de resultar insuficiente, en cualquiera de las cuentas que </w:t>
      </w:r>
      <w:r w:rsidR="0037066E">
        <w:rPr>
          <w:rFonts w:ascii="Arial" w:hAnsi="Arial" w:cs="Arial"/>
          <w:sz w:val="22"/>
          <w:szCs w:val="22"/>
        </w:rPr>
        <w:t xml:space="preserve">LA </w:t>
      </w:r>
      <w:r w:rsidR="00270C6C" w:rsidRPr="00FC3B08">
        <w:rPr>
          <w:rFonts w:ascii="Arial" w:hAnsi="Arial" w:cs="Arial"/>
          <w:sz w:val="22"/>
          <w:szCs w:val="22"/>
        </w:rPr>
        <w:t xml:space="preserve">EP mantenga en </w:t>
      </w:r>
      <w:r w:rsidR="0037066E">
        <w:rPr>
          <w:rFonts w:ascii="Arial" w:hAnsi="Arial" w:cs="Arial"/>
          <w:sz w:val="22"/>
          <w:szCs w:val="22"/>
        </w:rPr>
        <w:t>EL</w:t>
      </w:r>
      <w:r w:rsidR="00270C6C" w:rsidRPr="00FC3B08">
        <w:rPr>
          <w:rFonts w:ascii="Arial" w:hAnsi="Arial" w:cs="Arial"/>
          <w:sz w:val="22"/>
          <w:szCs w:val="22"/>
        </w:rPr>
        <w:t xml:space="preserve"> BCRP, hasta por el monto de recompra </w:t>
      </w:r>
      <w:r w:rsidR="00270C6C" w:rsidRPr="00C64ED1">
        <w:rPr>
          <w:rFonts w:ascii="Arial" w:hAnsi="Arial" w:cs="Arial"/>
          <w:sz w:val="22"/>
          <w:szCs w:val="22"/>
        </w:rPr>
        <w:t xml:space="preserve">correspondiente. Si LA EP solo contara con fondos en moneda extranjera, </w:t>
      </w:r>
      <w:r w:rsidR="0037066E">
        <w:rPr>
          <w:rFonts w:ascii="Arial" w:hAnsi="Arial" w:cs="Arial"/>
          <w:sz w:val="22"/>
          <w:szCs w:val="22"/>
        </w:rPr>
        <w:t>EL</w:t>
      </w:r>
      <w:r w:rsidR="00270C6C" w:rsidRPr="00C64ED1">
        <w:rPr>
          <w:rFonts w:ascii="Arial" w:hAnsi="Arial" w:cs="Arial"/>
          <w:sz w:val="22"/>
          <w:szCs w:val="22"/>
        </w:rPr>
        <w:t xml:space="preserve"> BCRP podrá cargar la cuenta correspondiente aplicando el tipo de cambio del día</w:t>
      </w:r>
      <w:r w:rsidR="00FF712A" w:rsidRPr="00C64ED1">
        <w:rPr>
          <w:rFonts w:ascii="Arial" w:hAnsi="Arial" w:cs="Arial"/>
          <w:sz w:val="22"/>
          <w:szCs w:val="22"/>
        </w:rPr>
        <w:t xml:space="preserve"> aplicable a las operaciones de</w:t>
      </w:r>
      <w:r w:rsidR="0037066E">
        <w:rPr>
          <w:rFonts w:ascii="Arial" w:hAnsi="Arial" w:cs="Arial"/>
          <w:sz w:val="22"/>
          <w:szCs w:val="22"/>
        </w:rPr>
        <w:t xml:space="preserve"> EL</w:t>
      </w:r>
      <w:r w:rsidR="00FF712A" w:rsidRPr="00C64ED1">
        <w:rPr>
          <w:rFonts w:ascii="Arial" w:hAnsi="Arial" w:cs="Arial"/>
          <w:sz w:val="22"/>
          <w:szCs w:val="22"/>
        </w:rPr>
        <w:t xml:space="preserve"> B</w:t>
      </w:r>
      <w:r w:rsidR="00E7395F">
        <w:rPr>
          <w:rFonts w:ascii="Arial" w:hAnsi="Arial" w:cs="Arial"/>
          <w:sz w:val="22"/>
          <w:szCs w:val="22"/>
        </w:rPr>
        <w:t>CRP</w:t>
      </w:r>
      <w:r w:rsidR="00FF712A" w:rsidRPr="00C64ED1">
        <w:rPr>
          <w:rFonts w:ascii="Arial" w:hAnsi="Arial" w:cs="Arial"/>
          <w:sz w:val="22"/>
          <w:szCs w:val="22"/>
        </w:rPr>
        <w:t>.</w:t>
      </w:r>
    </w:p>
    <w:p w14:paraId="51119167" w14:textId="77777777" w:rsidR="0096454D" w:rsidRPr="00C64ED1" w:rsidRDefault="0096454D" w:rsidP="00735D11">
      <w:pPr>
        <w:jc w:val="both"/>
        <w:rPr>
          <w:rFonts w:ascii="Arial" w:hAnsi="Arial" w:cs="Arial"/>
          <w:sz w:val="22"/>
          <w:szCs w:val="22"/>
        </w:rPr>
      </w:pPr>
    </w:p>
    <w:p w14:paraId="2A040A1D" w14:textId="377DC2C0" w:rsidR="0096454D" w:rsidRPr="004645A2" w:rsidRDefault="00F55810" w:rsidP="0096454D">
      <w:pPr>
        <w:pStyle w:val="Default"/>
        <w:jc w:val="both"/>
        <w:rPr>
          <w:sz w:val="22"/>
          <w:szCs w:val="22"/>
          <w:lang w:val="es-PE"/>
        </w:rPr>
      </w:pPr>
      <w:r>
        <w:rPr>
          <w:b/>
          <w:sz w:val="22"/>
          <w:szCs w:val="22"/>
          <w:lang w:val="es-PE"/>
        </w:rPr>
        <w:t>SEXTA</w:t>
      </w:r>
      <w:r w:rsidR="0096454D" w:rsidRPr="00C64ED1">
        <w:rPr>
          <w:sz w:val="22"/>
          <w:szCs w:val="22"/>
          <w:lang w:val="es-PE"/>
        </w:rPr>
        <w:t xml:space="preserve">.- En la eventualidad de un incumplimiento total o parcial de la recompra de que trata el </w:t>
      </w:r>
      <w:r w:rsidR="00AF045E">
        <w:rPr>
          <w:sz w:val="22"/>
          <w:szCs w:val="22"/>
          <w:lang w:val="es-PE"/>
        </w:rPr>
        <w:t>A</w:t>
      </w:r>
      <w:r w:rsidR="0096454D" w:rsidRPr="00C64ED1">
        <w:rPr>
          <w:sz w:val="22"/>
          <w:szCs w:val="22"/>
          <w:lang w:val="es-PE"/>
        </w:rPr>
        <w:t xml:space="preserve">rtículo 23 de la Circular, </w:t>
      </w:r>
      <w:r w:rsidR="0037066E">
        <w:rPr>
          <w:sz w:val="22"/>
          <w:szCs w:val="22"/>
          <w:lang w:val="es-PE"/>
        </w:rPr>
        <w:t>EL</w:t>
      </w:r>
      <w:r w:rsidR="0096454D" w:rsidRPr="00C64ED1">
        <w:rPr>
          <w:sz w:val="22"/>
          <w:szCs w:val="22"/>
          <w:lang w:val="es-PE"/>
        </w:rPr>
        <w:t xml:space="preserve"> BCRP valorizará los </w:t>
      </w:r>
      <w:r w:rsidR="00DD4478" w:rsidRPr="00C64ED1">
        <w:rPr>
          <w:sz w:val="22"/>
          <w:szCs w:val="22"/>
          <w:lang w:val="es-PE"/>
        </w:rPr>
        <w:t xml:space="preserve">Certificados de Participación </w:t>
      </w:r>
      <w:r w:rsidR="0096454D" w:rsidRPr="00C64ED1">
        <w:rPr>
          <w:sz w:val="22"/>
          <w:szCs w:val="22"/>
          <w:lang w:val="es-PE"/>
        </w:rPr>
        <w:t xml:space="preserve"> al </w:t>
      </w:r>
      <w:r w:rsidR="00DD4478" w:rsidRPr="00C64ED1">
        <w:rPr>
          <w:sz w:val="22"/>
          <w:szCs w:val="22"/>
          <w:lang w:val="es-PE"/>
        </w:rPr>
        <w:t xml:space="preserve">100 % del </w:t>
      </w:r>
      <w:r w:rsidR="0096454D" w:rsidRPr="00C64ED1">
        <w:rPr>
          <w:sz w:val="22"/>
          <w:szCs w:val="22"/>
          <w:lang w:val="es-PE"/>
        </w:rPr>
        <w:t xml:space="preserve">valor </w:t>
      </w:r>
      <w:r w:rsidR="00DD4478" w:rsidRPr="00C64ED1">
        <w:rPr>
          <w:sz w:val="22"/>
          <w:szCs w:val="22"/>
          <w:lang w:val="es-PE"/>
        </w:rPr>
        <w:t xml:space="preserve">nominal </w:t>
      </w:r>
      <w:r w:rsidR="0096454D" w:rsidRPr="00C64ED1">
        <w:rPr>
          <w:sz w:val="22"/>
          <w:szCs w:val="22"/>
          <w:lang w:val="es-PE"/>
        </w:rPr>
        <w:t>de la Garantía del Gobierno Nacional.</w:t>
      </w:r>
      <w:r w:rsidR="0096454D" w:rsidRPr="004645A2">
        <w:rPr>
          <w:sz w:val="22"/>
          <w:szCs w:val="22"/>
          <w:lang w:val="es-PE"/>
        </w:rPr>
        <w:t xml:space="preserve"> </w:t>
      </w:r>
    </w:p>
    <w:p w14:paraId="1812D966" w14:textId="77777777" w:rsidR="002A2260" w:rsidRDefault="002A2260" w:rsidP="00735D11">
      <w:pPr>
        <w:jc w:val="both"/>
        <w:rPr>
          <w:rFonts w:ascii="Arial" w:hAnsi="Arial" w:cs="Arial"/>
          <w:sz w:val="22"/>
          <w:szCs w:val="22"/>
        </w:rPr>
      </w:pPr>
    </w:p>
    <w:p w14:paraId="7B69992D" w14:textId="5DBC0F01" w:rsidR="00735D11" w:rsidRPr="00E412C4" w:rsidRDefault="00735D11" w:rsidP="00AF045E">
      <w:pPr>
        <w:jc w:val="both"/>
        <w:rPr>
          <w:rFonts w:ascii="Arial" w:hAnsi="Arial"/>
          <w:sz w:val="18"/>
        </w:rPr>
      </w:pPr>
      <w:r w:rsidRPr="003E57AF">
        <w:rPr>
          <w:rFonts w:ascii="Arial" w:hAnsi="Arial" w:cs="Arial"/>
          <w:sz w:val="22"/>
          <w:szCs w:val="22"/>
        </w:rPr>
        <w:t>En señal de absoluta conformidad con los términos precedentes, se suscribe dos  ejemplares de igual valor.</w:t>
      </w:r>
    </w:p>
    <w:p w14:paraId="1D265DF8" w14:textId="77777777" w:rsidR="00735D11" w:rsidRDefault="00735D11" w:rsidP="00E379FE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  <w:szCs w:val="18"/>
        </w:rPr>
      </w:pPr>
    </w:p>
    <w:p w14:paraId="2F3A00D1" w14:textId="77777777" w:rsidR="00C64ED1" w:rsidRDefault="00C64ED1" w:rsidP="00E379FE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8"/>
          <w:szCs w:val="18"/>
        </w:rPr>
      </w:pPr>
    </w:p>
    <w:p w14:paraId="7C0F7E1F" w14:textId="77777777" w:rsidR="00B936AF" w:rsidRPr="005F12D1" w:rsidRDefault="00B936AF" w:rsidP="00E379FE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4"/>
        <w:gridCol w:w="4425"/>
      </w:tblGrid>
      <w:tr w:rsidR="000F7E04" w:rsidRPr="006D620A" w14:paraId="62518997" w14:textId="77777777" w:rsidTr="00B936AF">
        <w:trPr>
          <w:trHeight w:val="869"/>
        </w:trPr>
        <w:tc>
          <w:tcPr>
            <w:tcW w:w="4424" w:type="dxa"/>
          </w:tcPr>
          <w:p w14:paraId="79666551" w14:textId="77777777" w:rsidR="000F7E04" w:rsidRPr="006D620A" w:rsidRDefault="000F7E04" w:rsidP="000D3713">
            <w:pPr>
              <w:tabs>
                <w:tab w:val="left" w:pos="-720"/>
                <w:tab w:val="left" w:pos="0"/>
                <w:tab w:val="left" w:pos="566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58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6D620A">
              <w:rPr>
                <w:rFonts w:ascii="Arial" w:hAnsi="Arial" w:cs="Arial"/>
                <w:sz w:val="22"/>
                <w:szCs w:val="16"/>
              </w:rPr>
              <w:t>_________________</w:t>
            </w:r>
          </w:p>
          <w:p w14:paraId="6849D094" w14:textId="77777777" w:rsidR="00A52F34" w:rsidRPr="006D620A" w:rsidRDefault="00A52F34" w:rsidP="000D3713">
            <w:pPr>
              <w:tabs>
                <w:tab w:val="left" w:pos="-720"/>
                <w:tab w:val="left" w:pos="0"/>
                <w:tab w:val="left" w:pos="566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58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6D620A">
              <w:rPr>
                <w:rFonts w:ascii="Arial" w:hAnsi="Arial" w:cs="Arial"/>
                <w:sz w:val="22"/>
                <w:szCs w:val="16"/>
              </w:rPr>
              <w:t>Banco Central de Reserva del Perú</w:t>
            </w:r>
          </w:p>
          <w:p w14:paraId="72D3BD37" w14:textId="5F111036" w:rsidR="000F7E04" w:rsidRPr="006D620A" w:rsidRDefault="000F7E04" w:rsidP="000D3713">
            <w:pPr>
              <w:tabs>
                <w:tab w:val="left" w:pos="-720"/>
                <w:tab w:val="left" w:pos="0"/>
                <w:tab w:val="left" w:pos="566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58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color w:val="FF0000"/>
                <w:sz w:val="22"/>
                <w:szCs w:val="16"/>
              </w:rPr>
            </w:pPr>
          </w:p>
          <w:p w14:paraId="400EE60F" w14:textId="77777777" w:rsidR="009177E0" w:rsidRPr="006D620A" w:rsidRDefault="009177E0" w:rsidP="000D3713">
            <w:pPr>
              <w:tabs>
                <w:tab w:val="left" w:pos="-720"/>
                <w:tab w:val="left" w:pos="0"/>
                <w:tab w:val="left" w:pos="566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58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color w:val="FF0000"/>
                <w:sz w:val="22"/>
                <w:szCs w:val="16"/>
              </w:rPr>
            </w:pPr>
          </w:p>
          <w:p w14:paraId="169CA9B0" w14:textId="77777777" w:rsidR="005546F4" w:rsidRPr="006D620A" w:rsidRDefault="005546F4" w:rsidP="000D3713">
            <w:pPr>
              <w:tabs>
                <w:tab w:val="left" w:pos="-720"/>
                <w:tab w:val="left" w:pos="0"/>
                <w:tab w:val="left" w:pos="566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58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color w:val="FF0000"/>
                <w:sz w:val="22"/>
                <w:szCs w:val="16"/>
              </w:rPr>
            </w:pPr>
          </w:p>
        </w:tc>
        <w:tc>
          <w:tcPr>
            <w:tcW w:w="4425" w:type="dxa"/>
          </w:tcPr>
          <w:p w14:paraId="13268F6B" w14:textId="77777777" w:rsidR="000F7E04" w:rsidRPr="006D620A" w:rsidRDefault="000F7E04" w:rsidP="000D3713">
            <w:pPr>
              <w:tabs>
                <w:tab w:val="left" w:pos="-720"/>
                <w:tab w:val="left" w:pos="0"/>
                <w:tab w:val="left" w:pos="566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58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6D620A">
              <w:rPr>
                <w:rFonts w:ascii="Arial" w:hAnsi="Arial" w:cs="Arial"/>
                <w:sz w:val="22"/>
                <w:szCs w:val="16"/>
              </w:rPr>
              <w:t>_________________</w:t>
            </w:r>
          </w:p>
          <w:p w14:paraId="6D765688" w14:textId="060401B8" w:rsidR="00A52F34" w:rsidRPr="006D620A" w:rsidRDefault="00AF045E" w:rsidP="000D3713">
            <w:pPr>
              <w:tabs>
                <w:tab w:val="left" w:pos="-720"/>
                <w:tab w:val="left" w:pos="0"/>
                <w:tab w:val="left" w:pos="566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58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color w:val="FF0000"/>
                <w:sz w:val="22"/>
                <w:szCs w:val="16"/>
              </w:rPr>
            </w:pPr>
            <w:r>
              <w:rPr>
                <w:rFonts w:ascii="Arial" w:hAnsi="Arial" w:cs="Arial"/>
                <w:color w:val="FF0000"/>
                <w:sz w:val="22"/>
                <w:szCs w:val="16"/>
              </w:rPr>
              <w:t>EP</w:t>
            </w:r>
          </w:p>
          <w:p w14:paraId="6FE293EB" w14:textId="77777777" w:rsidR="000F7E04" w:rsidRPr="006D620A" w:rsidRDefault="000F7E04" w:rsidP="000D3713">
            <w:pPr>
              <w:tabs>
                <w:tab w:val="left" w:pos="-720"/>
                <w:tab w:val="left" w:pos="0"/>
                <w:tab w:val="left" w:pos="566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58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color w:val="FF0000"/>
                <w:sz w:val="22"/>
                <w:szCs w:val="16"/>
              </w:rPr>
            </w:pPr>
          </w:p>
        </w:tc>
      </w:tr>
      <w:tr w:rsidR="00A52F34" w:rsidRPr="006D620A" w14:paraId="3ACFACAB" w14:textId="77777777" w:rsidTr="00B936AF">
        <w:trPr>
          <w:trHeight w:val="527"/>
        </w:trPr>
        <w:tc>
          <w:tcPr>
            <w:tcW w:w="4424" w:type="dxa"/>
          </w:tcPr>
          <w:p w14:paraId="6D18635C" w14:textId="77777777" w:rsidR="00A52F34" w:rsidRPr="006D620A" w:rsidRDefault="00A52F34" w:rsidP="000D3713">
            <w:pPr>
              <w:tabs>
                <w:tab w:val="left" w:pos="-720"/>
                <w:tab w:val="left" w:pos="0"/>
                <w:tab w:val="left" w:pos="566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58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6D620A">
              <w:rPr>
                <w:rFonts w:ascii="Arial" w:hAnsi="Arial" w:cs="Arial"/>
                <w:sz w:val="22"/>
                <w:szCs w:val="16"/>
              </w:rPr>
              <w:t>________________</w:t>
            </w:r>
          </w:p>
          <w:p w14:paraId="5BA8A3C7" w14:textId="77777777" w:rsidR="00A52F34" w:rsidRPr="006D620A" w:rsidRDefault="00A52F34" w:rsidP="000D3713">
            <w:pPr>
              <w:tabs>
                <w:tab w:val="left" w:pos="-720"/>
                <w:tab w:val="left" w:pos="0"/>
                <w:tab w:val="left" w:pos="566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58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6D620A">
              <w:rPr>
                <w:rFonts w:ascii="Arial" w:hAnsi="Arial" w:cs="Arial"/>
                <w:sz w:val="22"/>
                <w:szCs w:val="16"/>
              </w:rPr>
              <w:t>Banco Central de Reserva del Perú</w:t>
            </w:r>
          </w:p>
          <w:p w14:paraId="6F9FDDBC" w14:textId="1A44212C" w:rsidR="00A52F34" w:rsidRPr="006D620A" w:rsidRDefault="00A52F34" w:rsidP="00AF045E">
            <w:pPr>
              <w:tabs>
                <w:tab w:val="left" w:pos="-720"/>
                <w:tab w:val="left" w:pos="0"/>
                <w:tab w:val="left" w:pos="566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58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color w:val="FF0000"/>
                <w:sz w:val="22"/>
                <w:szCs w:val="16"/>
              </w:rPr>
            </w:pPr>
          </w:p>
        </w:tc>
        <w:tc>
          <w:tcPr>
            <w:tcW w:w="4425" w:type="dxa"/>
          </w:tcPr>
          <w:p w14:paraId="630A6A55" w14:textId="77777777" w:rsidR="00A52F34" w:rsidRPr="006D620A" w:rsidRDefault="00A52F34" w:rsidP="000D3713">
            <w:pPr>
              <w:tabs>
                <w:tab w:val="left" w:pos="-720"/>
                <w:tab w:val="left" w:pos="0"/>
                <w:tab w:val="left" w:pos="566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58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6D620A">
              <w:rPr>
                <w:rFonts w:ascii="Arial" w:hAnsi="Arial" w:cs="Arial"/>
                <w:sz w:val="22"/>
                <w:szCs w:val="16"/>
              </w:rPr>
              <w:t>_________________</w:t>
            </w:r>
          </w:p>
          <w:p w14:paraId="4D546C68" w14:textId="5DA4146B" w:rsidR="00A52F34" w:rsidRPr="006D620A" w:rsidRDefault="00AF045E" w:rsidP="000D2BD6">
            <w:pPr>
              <w:tabs>
                <w:tab w:val="left" w:pos="-720"/>
                <w:tab w:val="left" w:pos="0"/>
                <w:tab w:val="left" w:pos="566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58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 w:cs="Arial"/>
                <w:color w:val="FF0000"/>
                <w:sz w:val="22"/>
                <w:szCs w:val="16"/>
              </w:rPr>
            </w:pPr>
            <w:r>
              <w:rPr>
                <w:rFonts w:ascii="Arial" w:hAnsi="Arial" w:cs="Arial"/>
                <w:color w:val="FF0000"/>
                <w:sz w:val="22"/>
                <w:szCs w:val="16"/>
              </w:rPr>
              <w:t>EP</w:t>
            </w:r>
          </w:p>
        </w:tc>
      </w:tr>
    </w:tbl>
    <w:p w14:paraId="4C20029F" w14:textId="77777777" w:rsidR="00FF67AD" w:rsidRPr="005F12D1" w:rsidRDefault="00FF67AD" w:rsidP="00AF045E">
      <w:pPr>
        <w:tabs>
          <w:tab w:val="left" w:pos="-720"/>
          <w:tab w:val="left" w:pos="0"/>
          <w:tab w:val="left" w:pos="566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58"/>
          <w:tab w:val="left" w:pos="5668"/>
          <w:tab w:val="left" w:pos="6235"/>
          <w:tab w:val="left" w:pos="6802"/>
          <w:tab w:val="left" w:pos="7369"/>
          <w:tab w:val="left" w:pos="7936"/>
          <w:tab w:val="left" w:pos="9360"/>
          <w:tab w:val="left" w:pos="10080"/>
          <w:tab w:val="left" w:pos="10800"/>
        </w:tabs>
        <w:rPr>
          <w:rFonts w:ascii="Arial" w:hAnsi="Arial" w:cs="Arial"/>
          <w:color w:val="FF0000"/>
          <w:sz w:val="16"/>
          <w:szCs w:val="16"/>
        </w:rPr>
      </w:pPr>
    </w:p>
    <w:sectPr w:rsidR="00FF67AD" w:rsidRPr="005F12D1" w:rsidSect="00B936AF">
      <w:footerReference w:type="default" r:id="rId9"/>
      <w:headerReference w:type="first" r:id="rId10"/>
      <w:footerReference w:type="first" r:id="rId11"/>
      <w:pgSz w:w="11905" w:h="16837"/>
      <w:pgMar w:top="993" w:right="1156" w:bottom="426" w:left="1440" w:header="567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64ABA" w14:textId="77777777" w:rsidR="0047054B" w:rsidRDefault="0047054B">
      <w:r>
        <w:separator/>
      </w:r>
    </w:p>
  </w:endnote>
  <w:endnote w:type="continuationSeparator" w:id="0">
    <w:p w14:paraId="33436494" w14:textId="77777777" w:rsidR="0047054B" w:rsidRDefault="0047054B">
      <w:r>
        <w:continuationSeparator/>
      </w:r>
    </w:p>
  </w:endnote>
  <w:endnote w:type="continuationNotice" w:id="1">
    <w:p w14:paraId="4363807C" w14:textId="77777777" w:rsidR="0047054B" w:rsidRDefault="00470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0725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BD633D" w14:textId="24EA1DBB" w:rsidR="005E3C54" w:rsidRDefault="005E3C54" w:rsidP="00B378A7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08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081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759149" w14:textId="77777777" w:rsidR="005E3C54" w:rsidRDefault="005E3C5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51115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885949" w14:textId="059452BC" w:rsidR="00B378A7" w:rsidRDefault="00B378A7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08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081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CD42CB" w14:textId="77777777" w:rsidR="00B378A7" w:rsidRDefault="00B378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9110D" w14:textId="77777777" w:rsidR="0047054B" w:rsidRDefault="0047054B">
      <w:r>
        <w:separator/>
      </w:r>
    </w:p>
  </w:footnote>
  <w:footnote w:type="continuationSeparator" w:id="0">
    <w:p w14:paraId="4F403633" w14:textId="77777777" w:rsidR="0047054B" w:rsidRDefault="0047054B">
      <w:r>
        <w:continuationSeparator/>
      </w:r>
    </w:p>
  </w:footnote>
  <w:footnote w:type="continuationNotice" w:id="1">
    <w:p w14:paraId="679D32EA" w14:textId="77777777" w:rsidR="0047054B" w:rsidRDefault="0047054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2F8A8" w14:textId="5B9164EA" w:rsidR="00AF045E" w:rsidRPr="00AF045E" w:rsidRDefault="00AF045E" w:rsidP="00AF045E">
    <w:pPr>
      <w:pStyle w:val="Encabezado"/>
      <w:jc w:val="center"/>
      <w:rPr>
        <w:rFonts w:ascii="Arial" w:hAnsi="Arial" w:cs="Arial"/>
        <w:b/>
        <w:sz w:val="28"/>
      </w:rPr>
    </w:pPr>
    <w:r w:rsidRPr="00AF045E">
      <w:rPr>
        <w:rFonts w:ascii="Arial" w:hAnsi="Arial" w:cs="Arial"/>
        <w:b/>
        <w:sz w:val="28"/>
      </w:rPr>
      <w:t>ENTIDAD PARTICIPANTE</w:t>
    </w:r>
  </w:p>
  <w:p w14:paraId="1F6DF6D4" w14:textId="77777777" w:rsidR="00AF045E" w:rsidRDefault="00AF04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42CCC"/>
    <w:multiLevelType w:val="multilevel"/>
    <w:tmpl w:val="9B4C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B3B16"/>
    <w:multiLevelType w:val="multilevel"/>
    <w:tmpl w:val="ED64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86780"/>
    <w:multiLevelType w:val="hybridMultilevel"/>
    <w:tmpl w:val="A9384454"/>
    <w:lvl w:ilvl="0" w:tplc="CC5EA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181FF9"/>
    <w:multiLevelType w:val="hybridMultilevel"/>
    <w:tmpl w:val="FDBCB07C"/>
    <w:lvl w:ilvl="0" w:tplc="622E07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BB"/>
    <w:rsid w:val="00022B1C"/>
    <w:rsid w:val="00033856"/>
    <w:rsid w:val="00033D7A"/>
    <w:rsid w:val="00033E1B"/>
    <w:rsid w:val="00034592"/>
    <w:rsid w:val="00054E71"/>
    <w:rsid w:val="000630A2"/>
    <w:rsid w:val="000647C6"/>
    <w:rsid w:val="000740DE"/>
    <w:rsid w:val="00083CC7"/>
    <w:rsid w:val="00090909"/>
    <w:rsid w:val="00096374"/>
    <w:rsid w:val="000D2BD6"/>
    <w:rsid w:val="000D3713"/>
    <w:rsid w:val="000F478C"/>
    <w:rsid w:val="000F7E04"/>
    <w:rsid w:val="00110A08"/>
    <w:rsid w:val="00141880"/>
    <w:rsid w:val="001449FE"/>
    <w:rsid w:val="00170101"/>
    <w:rsid w:val="001852A2"/>
    <w:rsid w:val="00186F40"/>
    <w:rsid w:val="002144B4"/>
    <w:rsid w:val="00227277"/>
    <w:rsid w:val="00227FDF"/>
    <w:rsid w:val="002437F1"/>
    <w:rsid w:val="00250973"/>
    <w:rsid w:val="002636FB"/>
    <w:rsid w:val="00270C6C"/>
    <w:rsid w:val="002740E0"/>
    <w:rsid w:val="00274A3A"/>
    <w:rsid w:val="00277FAD"/>
    <w:rsid w:val="00294FBC"/>
    <w:rsid w:val="002A2260"/>
    <w:rsid w:val="002A29FC"/>
    <w:rsid w:val="002B74CF"/>
    <w:rsid w:val="002C023C"/>
    <w:rsid w:val="002C0EE6"/>
    <w:rsid w:val="002D7C95"/>
    <w:rsid w:val="002E0810"/>
    <w:rsid w:val="002E243E"/>
    <w:rsid w:val="003025CC"/>
    <w:rsid w:val="00310BFD"/>
    <w:rsid w:val="00340105"/>
    <w:rsid w:val="00352CDE"/>
    <w:rsid w:val="0037066E"/>
    <w:rsid w:val="00375768"/>
    <w:rsid w:val="003B6E4C"/>
    <w:rsid w:val="003B6F96"/>
    <w:rsid w:val="003E0D39"/>
    <w:rsid w:val="003E4C46"/>
    <w:rsid w:val="003E57AF"/>
    <w:rsid w:val="003F7BF5"/>
    <w:rsid w:val="00410003"/>
    <w:rsid w:val="004203C9"/>
    <w:rsid w:val="00440AE5"/>
    <w:rsid w:val="0046373D"/>
    <w:rsid w:val="004701BB"/>
    <w:rsid w:val="0047054B"/>
    <w:rsid w:val="004B04B7"/>
    <w:rsid w:val="004C36E8"/>
    <w:rsid w:val="004D6885"/>
    <w:rsid w:val="004E225E"/>
    <w:rsid w:val="004E5667"/>
    <w:rsid w:val="005168D7"/>
    <w:rsid w:val="00527BD9"/>
    <w:rsid w:val="00530204"/>
    <w:rsid w:val="00535DD2"/>
    <w:rsid w:val="005546F4"/>
    <w:rsid w:val="005628AC"/>
    <w:rsid w:val="00563E8D"/>
    <w:rsid w:val="005A16BF"/>
    <w:rsid w:val="005A5465"/>
    <w:rsid w:val="005D0D17"/>
    <w:rsid w:val="005E3C54"/>
    <w:rsid w:val="005E3D3C"/>
    <w:rsid w:val="005E7B3C"/>
    <w:rsid w:val="005F12D1"/>
    <w:rsid w:val="00606A35"/>
    <w:rsid w:val="0065344F"/>
    <w:rsid w:val="00674070"/>
    <w:rsid w:val="00686776"/>
    <w:rsid w:val="006A3A23"/>
    <w:rsid w:val="006A5A84"/>
    <w:rsid w:val="006C41CF"/>
    <w:rsid w:val="006D31BA"/>
    <w:rsid w:val="006D620A"/>
    <w:rsid w:val="006E7DCE"/>
    <w:rsid w:val="0070798A"/>
    <w:rsid w:val="00710963"/>
    <w:rsid w:val="00713F9F"/>
    <w:rsid w:val="00715DF8"/>
    <w:rsid w:val="00721927"/>
    <w:rsid w:val="00734EFA"/>
    <w:rsid w:val="00735D11"/>
    <w:rsid w:val="00747792"/>
    <w:rsid w:val="00760F6A"/>
    <w:rsid w:val="00764377"/>
    <w:rsid w:val="007702E9"/>
    <w:rsid w:val="0077051F"/>
    <w:rsid w:val="00787D64"/>
    <w:rsid w:val="007C4980"/>
    <w:rsid w:val="00802FF6"/>
    <w:rsid w:val="008145EE"/>
    <w:rsid w:val="008154F0"/>
    <w:rsid w:val="008236CF"/>
    <w:rsid w:val="00824A1B"/>
    <w:rsid w:val="00877A67"/>
    <w:rsid w:val="008817E1"/>
    <w:rsid w:val="00883078"/>
    <w:rsid w:val="008921F5"/>
    <w:rsid w:val="00897D85"/>
    <w:rsid w:val="008D612D"/>
    <w:rsid w:val="008F34A2"/>
    <w:rsid w:val="008F6778"/>
    <w:rsid w:val="009177E0"/>
    <w:rsid w:val="00923E23"/>
    <w:rsid w:val="0095687C"/>
    <w:rsid w:val="0096454D"/>
    <w:rsid w:val="009717E7"/>
    <w:rsid w:val="00980C7C"/>
    <w:rsid w:val="00986EC9"/>
    <w:rsid w:val="009B6CBF"/>
    <w:rsid w:val="009C6DC2"/>
    <w:rsid w:val="009E35F0"/>
    <w:rsid w:val="009F1F39"/>
    <w:rsid w:val="009F4304"/>
    <w:rsid w:val="009F55E7"/>
    <w:rsid w:val="00A10B52"/>
    <w:rsid w:val="00A13E75"/>
    <w:rsid w:val="00A174A0"/>
    <w:rsid w:val="00A52F34"/>
    <w:rsid w:val="00A542CF"/>
    <w:rsid w:val="00A56937"/>
    <w:rsid w:val="00A819C9"/>
    <w:rsid w:val="00A84627"/>
    <w:rsid w:val="00AA6EA0"/>
    <w:rsid w:val="00AF045E"/>
    <w:rsid w:val="00AF3C79"/>
    <w:rsid w:val="00B21BEF"/>
    <w:rsid w:val="00B33731"/>
    <w:rsid w:val="00B37114"/>
    <w:rsid w:val="00B378A7"/>
    <w:rsid w:val="00B474EE"/>
    <w:rsid w:val="00B67936"/>
    <w:rsid w:val="00B82016"/>
    <w:rsid w:val="00B83E0E"/>
    <w:rsid w:val="00B936AF"/>
    <w:rsid w:val="00BB1F14"/>
    <w:rsid w:val="00BC38B8"/>
    <w:rsid w:val="00C111F7"/>
    <w:rsid w:val="00C406DE"/>
    <w:rsid w:val="00C43D73"/>
    <w:rsid w:val="00C64ED1"/>
    <w:rsid w:val="00C67CB8"/>
    <w:rsid w:val="00C741BA"/>
    <w:rsid w:val="00CA20DB"/>
    <w:rsid w:val="00CB2332"/>
    <w:rsid w:val="00CC3DA6"/>
    <w:rsid w:val="00CC5059"/>
    <w:rsid w:val="00CE5680"/>
    <w:rsid w:val="00CF283A"/>
    <w:rsid w:val="00D01BBC"/>
    <w:rsid w:val="00D12A74"/>
    <w:rsid w:val="00D418AF"/>
    <w:rsid w:val="00D50E4E"/>
    <w:rsid w:val="00D66EBC"/>
    <w:rsid w:val="00D80C1F"/>
    <w:rsid w:val="00D90D73"/>
    <w:rsid w:val="00D93205"/>
    <w:rsid w:val="00D955AD"/>
    <w:rsid w:val="00DA1B30"/>
    <w:rsid w:val="00DA725B"/>
    <w:rsid w:val="00DD4478"/>
    <w:rsid w:val="00E031B3"/>
    <w:rsid w:val="00E12014"/>
    <w:rsid w:val="00E1446B"/>
    <w:rsid w:val="00E21114"/>
    <w:rsid w:val="00E379FE"/>
    <w:rsid w:val="00E412C4"/>
    <w:rsid w:val="00E51101"/>
    <w:rsid w:val="00E64E1A"/>
    <w:rsid w:val="00E7395F"/>
    <w:rsid w:val="00EA3123"/>
    <w:rsid w:val="00ED2681"/>
    <w:rsid w:val="00EF2D24"/>
    <w:rsid w:val="00F04B2E"/>
    <w:rsid w:val="00F05E50"/>
    <w:rsid w:val="00F10AFE"/>
    <w:rsid w:val="00F122E0"/>
    <w:rsid w:val="00F2783A"/>
    <w:rsid w:val="00F3289B"/>
    <w:rsid w:val="00F50784"/>
    <w:rsid w:val="00F55453"/>
    <w:rsid w:val="00F55810"/>
    <w:rsid w:val="00F70B76"/>
    <w:rsid w:val="00F7791F"/>
    <w:rsid w:val="00FA3534"/>
    <w:rsid w:val="00FB6A71"/>
    <w:rsid w:val="00FB71D7"/>
    <w:rsid w:val="00FC4B06"/>
    <w:rsid w:val="00FC5B43"/>
    <w:rsid w:val="00FD07A3"/>
    <w:rsid w:val="00FF67AD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372D1"/>
  <w15:docId w15:val="{750DCF18-E2F7-4522-9EFC-9C32DFF7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78C"/>
    <w:rPr>
      <w:rFonts w:ascii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F478C"/>
    <w:pPr>
      <w:keepNext/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0F478C"/>
    <w:pPr>
      <w:keepNext/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0F478C"/>
    <w:pPr>
      <w:keepNext/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701BB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4701B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4701BB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F478C"/>
    <w:pPr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jc w:val="center"/>
    </w:pPr>
  </w:style>
  <w:style w:type="character" w:customStyle="1" w:styleId="TextoindependienteCar">
    <w:name w:val="Texto independiente Car"/>
    <w:link w:val="Textoindependiente"/>
    <w:uiPriority w:val="99"/>
    <w:semiHidden/>
    <w:rsid w:val="004701BB"/>
    <w:rPr>
      <w:rFonts w:ascii="Times New Roman" w:hAnsi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478C"/>
  </w:style>
  <w:style w:type="character" w:customStyle="1" w:styleId="TextonotapieCar">
    <w:name w:val="Texto nota pie Car"/>
    <w:link w:val="Textonotapie"/>
    <w:uiPriority w:val="99"/>
    <w:semiHidden/>
    <w:rsid w:val="004701BB"/>
    <w:rPr>
      <w:rFonts w:ascii="Times New Roman" w:hAnsi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0F478C"/>
    <w:rPr>
      <w:rFonts w:ascii="Times New Roman" w:hAnsi="Times New Roman" w:cs="Times New Roman"/>
      <w:vertAlign w:val="superscript"/>
    </w:rPr>
  </w:style>
  <w:style w:type="paragraph" w:customStyle="1" w:styleId="Epgrafe1">
    <w:name w:val="Epígrafe1"/>
    <w:basedOn w:val="Normal"/>
    <w:next w:val="Normal"/>
    <w:uiPriority w:val="99"/>
    <w:qFormat/>
    <w:rsid w:val="000F478C"/>
    <w:pPr>
      <w:tabs>
        <w:tab w:val="left" w:pos="-720"/>
        <w:tab w:val="left" w:pos="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ind w:left="1820" w:hanging="1820"/>
      <w:jc w:val="both"/>
    </w:pPr>
    <w:rPr>
      <w:b/>
      <w:bCs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0F478C"/>
    <w:pPr>
      <w:tabs>
        <w:tab w:val="left" w:pos="-720"/>
        <w:tab w:val="left" w:pos="566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58"/>
        <w:tab w:val="left" w:pos="5668"/>
        <w:tab w:val="left" w:pos="6235"/>
        <w:tab w:val="left" w:pos="6802"/>
        <w:tab w:val="left" w:pos="7369"/>
        <w:tab w:val="left" w:pos="7936"/>
        <w:tab w:val="left" w:pos="9360"/>
        <w:tab w:val="left" w:pos="10080"/>
        <w:tab w:val="left" w:pos="10800"/>
      </w:tabs>
      <w:ind w:left="567" w:hanging="567"/>
      <w:jc w:val="both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701BB"/>
    <w:rPr>
      <w:rFonts w:ascii="Times New Roman" w:hAnsi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0F478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link w:val="Encabezado"/>
    <w:uiPriority w:val="99"/>
    <w:rsid w:val="000F478C"/>
    <w:rPr>
      <w:rFonts w:ascii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478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link w:val="Piedepgina"/>
    <w:uiPriority w:val="99"/>
    <w:rsid w:val="000F478C"/>
    <w:rPr>
      <w:rFonts w:ascii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68D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168D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0F7E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C67C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CB8"/>
  </w:style>
  <w:style w:type="character" w:customStyle="1" w:styleId="TextocomentarioCar">
    <w:name w:val="Texto comentario Car"/>
    <w:link w:val="Textocomentario"/>
    <w:uiPriority w:val="99"/>
    <w:semiHidden/>
    <w:rsid w:val="00C67CB8"/>
    <w:rPr>
      <w:rFonts w:ascii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CB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67CB8"/>
    <w:rPr>
      <w:rFonts w:ascii="Times New Roman" w:hAnsi="Times New Roman"/>
      <w:b/>
      <w:bCs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FF67AD"/>
    <w:pPr>
      <w:spacing w:before="50" w:after="100"/>
    </w:pPr>
    <w:rPr>
      <w:sz w:val="24"/>
      <w:szCs w:val="24"/>
      <w:lang w:val="es-PE" w:eastAsia="es-PE"/>
    </w:rPr>
  </w:style>
  <w:style w:type="paragraph" w:styleId="Prrafodelista">
    <w:name w:val="List Paragraph"/>
    <w:basedOn w:val="Normal"/>
    <w:uiPriority w:val="34"/>
    <w:qFormat/>
    <w:rsid w:val="00A13E75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735D1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rsid w:val="00735D11"/>
    <w:rPr>
      <w:rFonts w:ascii="Times New Roman" w:hAnsi="Times New Roman"/>
      <w:sz w:val="16"/>
      <w:szCs w:val="16"/>
      <w:lang w:val="es-ES" w:eastAsia="es-ES"/>
    </w:rPr>
  </w:style>
  <w:style w:type="paragraph" w:customStyle="1" w:styleId="Default">
    <w:name w:val="Default"/>
    <w:rsid w:val="009645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370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2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ADBDD1"/>
                    <w:bottom w:val="none" w:sz="0" w:space="0" w:color="auto"/>
                    <w:right w:val="none" w:sz="0" w:space="0" w:color="auto"/>
                  </w:divBdr>
                  <w:divsChild>
                    <w:div w:id="14514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3E5C-9B20-4F4F-9909-5EA5F24352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E5C9D-4D5A-4CAF-8B2D-20BDE6C3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958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SUBASTA DE COMPRA DE CERTIFICADOS BCRP CON COMPROMISO DE RECOMPRA</vt:lpstr>
      <vt:lpstr>SUBASTA DE COMPRA DE CERTIFICADOS BCRP CON COMPROMISO DE RECOMPRA</vt:lpstr>
    </vt:vector>
  </TitlesOfParts>
  <Company>Banco Central de Reserva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SUBASTA DE COMPRA DE CERTIFICADOS BCRP CON COMPROMISO DE RECOMPRA</dc:title>
  <dc:creator>d1586</dc:creator>
  <cp:lastModifiedBy>Vega Bernal, Milton  Gonzalo</cp:lastModifiedBy>
  <cp:revision>13</cp:revision>
  <cp:lastPrinted>2014-01-28T17:44:00Z</cp:lastPrinted>
  <dcterms:created xsi:type="dcterms:W3CDTF">2020-04-29T17:46:00Z</dcterms:created>
  <dcterms:modified xsi:type="dcterms:W3CDTF">2020-06-11T17:02:00Z</dcterms:modified>
</cp:coreProperties>
</file>