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6DF79" w14:textId="77777777" w:rsidR="001B663A" w:rsidRPr="00B35B11" w:rsidRDefault="001B663A" w:rsidP="001B663A">
      <w:pPr>
        <w:pStyle w:val="Textoindependiente"/>
        <w:tabs>
          <w:tab w:val="clear" w:pos="0"/>
          <w:tab w:val="clear" w:pos="566"/>
          <w:tab w:val="left" w:pos="567"/>
        </w:tabs>
        <w:rPr>
          <w:rFonts w:ascii="Arial" w:hAnsi="Arial" w:cs="Arial"/>
          <w:b/>
          <w:sz w:val="22"/>
        </w:rPr>
      </w:pPr>
      <w:r w:rsidRPr="00B35B11">
        <w:rPr>
          <w:rFonts w:ascii="Arial" w:hAnsi="Arial" w:cs="Arial"/>
          <w:b/>
          <w:sz w:val="22"/>
        </w:rPr>
        <w:t>CONTRATO ESPECÍFICO</w:t>
      </w:r>
    </w:p>
    <w:p w14:paraId="5F06DF7A" w14:textId="77777777" w:rsidR="001B663A" w:rsidRPr="00B35B11" w:rsidRDefault="001B663A" w:rsidP="00B307CF">
      <w:pPr>
        <w:pStyle w:val="Textoindependiente"/>
        <w:tabs>
          <w:tab w:val="clear" w:pos="0"/>
          <w:tab w:val="clear" w:pos="566"/>
          <w:tab w:val="left" w:pos="567"/>
        </w:tabs>
        <w:rPr>
          <w:rFonts w:ascii="Arial" w:hAnsi="Arial" w:cs="Arial"/>
          <w:b/>
          <w:sz w:val="22"/>
        </w:rPr>
      </w:pPr>
      <w:r w:rsidRPr="00B35B11">
        <w:rPr>
          <w:rFonts w:ascii="Arial" w:hAnsi="Arial" w:cs="Arial"/>
          <w:b/>
          <w:sz w:val="22"/>
        </w:rPr>
        <w:t xml:space="preserve">OPERACIÓN DE </w:t>
      </w:r>
      <w:r w:rsidRPr="00CC1FF0">
        <w:rPr>
          <w:rFonts w:ascii="Arial" w:hAnsi="Arial" w:cs="Arial"/>
          <w:b/>
          <w:sz w:val="22"/>
        </w:rPr>
        <w:t>REPORTE DE MONEDAS</w:t>
      </w:r>
      <w:r w:rsidR="00B307CF" w:rsidRPr="00CC1FF0">
        <w:rPr>
          <w:rFonts w:ascii="Arial" w:hAnsi="Arial" w:cs="Arial"/>
          <w:b/>
          <w:sz w:val="22"/>
        </w:rPr>
        <w:t xml:space="preserve"> (</w:t>
      </w:r>
      <w:r w:rsidR="000517EA" w:rsidRPr="00CC1FF0">
        <w:rPr>
          <w:rFonts w:ascii="Arial" w:hAnsi="Arial" w:cs="Arial"/>
          <w:b/>
          <w:sz w:val="22"/>
        </w:rPr>
        <w:t>TRIMESTRAL</w:t>
      </w:r>
      <w:r w:rsidR="00B307CF" w:rsidRPr="00CC1FF0">
        <w:rPr>
          <w:rFonts w:ascii="Arial" w:hAnsi="Arial" w:cs="Arial"/>
          <w:b/>
          <w:sz w:val="22"/>
        </w:rPr>
        <w:t>)</w:t>
      </w:r>
    </w:p>
    <w:p w14:paraId="5F06DF7B" w14:textId="77777777" w:rsidR="001B663A" w:rsidRPr="00B35B11" w:rsidRDefault="001B663A" w:rsidP="001B663A">
      <w:pPr>
        <w:pStyle w:val="Textoindependiente"/>
        <w:tabs>
          <w:tab w:val="clear" w:pos="0"/>
          <w:tab w:val="clear" w:pos="566"/>
          <w:tab w:val="left" w:pos="567"/>
        </w:tabs>
        <w:jc w:val="right"/>
        <w:rPr>
          <w:rFonts w:ascii="Arial" w:hAnsi="Arial" w:cs="Arial"/>
          <w:szCs w:val="16"/>
        </w:rPr>
      </w:pPr>
    </w:p>
    <w:p w14:paraId="5F06DF7C" w14:textId="4CA50B41" w:rsidR="001B663A" w:rsidRPr="00B35B11" w:rsidRDefault="001B663A" w:rsidP="001B663A">
      <w:pPr>
        <w:pStyle w:val="Textoindependiente"/>
        <w:tabs>
          <w:tab w:val="clear" w:pos="0"/>
          <w:tab w:val="clear" w:pos="566"/>
          <w:tab w:val="left" w:pos="567"/>
        </w:tabs>
        <w:jc w:val="right"/>
        <w:rPr>
          <w:rFonts w:ascii="Arial" w:hAnsi="Arial" w:cs="Arial"/>
          <w:sz w:val="22"/>
          <w:szCs w:val="16"/>
        </w:rPr>
      </w:pPr>
    </w:p>
    <w:p w14:paraId="5F06DF7E" w14:textId="4BAE28BA" w:rsidR="001B663A" w:rsidRDefault="00370A6C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37997">
        <w:rPr>
          <w:rFonts w:ascii="Arial" w:hAnsi="Arial" w:cs="Arial"/>
          <w:b/>
          <w:bCs/>
          <w:sz w:val="22"/>
          <w:szCs w:val="22"/>
        </w:rPr>
        <w:t>Fecha:</w:t>
      </w:r>
      <w:r w:rsidRPr="00E37997">
        <w:rPr>
          <w:rFonts w:ascii="Arial" w:hAnsi="Arial" w:cs="Arial"/>
          <w:bCs/>
          <w:sz w:val="22"/>
          <w:szCs w:val="22"/>
        </w:rPr>
        <w:t xml:space="preserve"> </w:t>
      </w:r>
      <w:r w:rsidRPr="008C5E54">
        <w:rPr>
          <w:rFonts w:ascii="Arial" w:hAnsi="Arial" w:cs="Arial"/>
          <w:bCs/>
          <w:color w:val="FF0000"/>
          <w:sz w:val="22"/>
          <w:szCs w:val="22"/>
        </w:rPr>
        <w:t>dd-mm-</w:t>
      </w:r>
      <w:proofErr w:type="spellStart"/>
      <w:r w:rsidRPr="008C5E54">
        <w:rPr>
          <w:rFonts w:ascii="Arial" w:hAnsi="Arial" w:cs="Arial"/>
          <w:bCs/>
          <w:color w:val="FF0000"/>
          <w:sz w:val="22"/>
          <w:szCs w:val="22"/>
        </w:rPr>
        <w:t>aaaa</w:t>
      </w:r>
      <w:proofErr w:type="spellEnd"/>
      <w:r w:rsidRPr="008C5E54">
        <w:rPr>
          <w:rFonts w:ascii="Arial" w:hAnsi="Arial" w:cs="Arial"/>
          <w:bCs/>
          <w:color w:val="FF0000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bCs/>
          <w:sz w:val="22"/>
          <w:szCs w:val="22"/>
        </w:rPr>
        <w:t>Número de Contrato</w:t>
      </w:r>
      <w:r w:rsidRPr="00E37997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C5E54">
        <w:rPr>
          <w:rFonts w:ascii="Arial" w:hAnsi="Arial" w:cs="Arial"/>
          <w:b/>
          <w:bCs/>
          <w:color w:val="FF0000"/>
          <w:sz w:val="22"/>
          <w:szCs w:val="22"/>
        </w:rPr>
        <w:t>[Entidad]-[N° Operación]</w:t>
      </w:r>
    </w:p>
    <w:p w14:paraId="735D4ED2" w14:textId="77777777" w:rsidR="00370A6C" w:rsidRPr="00B35B11" w:rsidRDefault="00370A6C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18"/>
        </w:rPr>
      </w:pPr>
    </w:p>
    <w:p w14:paraId="5F06DF7F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18"/>
        </w:rPr>
      </w:pPr>
      <w:r w:rsidRPr="00B35B11">
        <w:rPr>
          <w:rFonts w:ascii="Arial" w:hAnsi="Arial" w:cs="Arial"/>
          <w:sz w:val="22"/>
          <w:szCs w:val="18"/>
        </w:rPr>
        <w:t xml:space="preserve">El presente documento constituye el Contrato Específico, como se define en el Contrato Marco de Operaciones de Reporte de Monedas suscrito por el Banco Central de Reserva del Perú </w:t>
      </w:r>
      <w:r>
        <w:rPr>
          <w:rFonts w:ascii="Arial" w:hAnsi="Arial" w:cs="Arial"/>
          <w:sz w:val="22"/>
          <w:szCs w:val="18"/>
        </w:rPr>
        <w:t xml:space="preserve">(BCRP) </w:t>
      </w:r>
      <w:r w:rsidRPr="00B35B11">
        <w:rPr>
          <w:rFonts w:ascii="Arial" w:hAnsi="Arial" w:cs="Arial"/>
          <w:sz w:val="22"/>
          <w:szCs w:val="18"/>
        </w:rPr>
        <w:t xml:space="preserve">y </w:t>
      </w:r>
      <w:r w:rsidRPr="00B35B11">
        <w:rPr>
          <w:rFonts w:ascii="Arial" w:hAnsi="Arial" w:cs="Arial"/>
          <w:color w:val="FF0000"/>
          <w:sz w:val="22"/>
          <w:szCs w:val="18"/>
        </w:rPr>
        <w:t>[nombre de la entidad]</w:t>
      </w:r>
      <w:r>
        <w:rPr>
          <w:rFonts w:ascii="Arial" w:hAnsi="Arial" w:cs="Arial"/>
          <w:color w:val="FF0000"/>
          <w:sz w:val="22"/>
          <w:szCs w:val="18"/>
        </w:rPr>
        <w:t xml:space="preserve"> </w:t>
      </w:r>
      <w:r w:rsidRPr="00F91906">
        <w:rPr>
          <w:rFonts w:ascii="Arial" w:hAnsi="Arial" w:cs="Arial"/>
          <w:sz w:val="22"/>
          <w:szCs w:val="18"/>
        </w:rPr>
        <w:t>(</w:t>
      </w:r>
      <w:r w:rsidR="00D512DE">
        <w:rPr>
          <w:rFonts w:ascii="Arial" w:hAnsi="Arial" w:cs="Arial"/>
          <w:sz w:val="22"/>
          <w:szCs w:val="18"/>
        </w:rPr>
        <w:t xml:space="preserve">en adelante </w:t>
      </w:r>
      <w:r w:rsidRPr="00F91906">
        <w:rPr>
          <w:rFonts w:ascii="Arial" w:hAnsi="Arial" w:cs="Arial"/>
          <w:sz w:val="22"/>
          <w:szCs w:val="18"/>
        </w:rPr>
        <w:t xml:space="preserve">EP), </w:t>
      </w:r>
      <w:r w:rsidRPr="00B35B11">
        <w:rPr>
          <w:rFonts w:ascii="Arial" w:hAnsi="Arial" w:cs="Arial"/>
          <w:sz w:val="22"/>
          <w:szCs w:val="18"/>
        </w:rPr>
        <w:t>para la Operación de Reporte de Monedas que se detalla a continuación</w:t>
      </w:r>
      <w:r>
        <w:rPr>
          <w:rFonts w:ascii="Arial" w:hAnsi="Arial" w:cs="Arial"/>
          <w:sz w:val="22"/>
          <w:szCs w:val="18"/>
        </w:rPr>
        <w:t>.</w:t>
      </w:r>
    </w:p>
    <w:p w14:paraId="5F06DF80" w14:textId="77777777" w:rsidR="001B663A" w:rsidRPr="00B35B11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16"/>
        </w:rPr>
      </w:pPr>
    </w:p>
    <w:p w14:paraId="5F06DF81" w14:textId="77777777" w:rsidR="001B663A" w:rsidRPr="00B35B11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ind w:left="6923" w:hanging="6923"/>
        <w:jc w:val="both"/>
        <w:rPr>
          <w:rFonts w:ascii="Arial" w:hAnsi="Arial" w:cs="Arial"/>
          <w:b/>
          <w:bCs/>
          <w:sz w:val="22"/>
          <w:szCs w:val="16"/>
        </w:rPr>
      </w:pPr>
      <w:r w:rsidRPr="00B35B11">
        <w:rPr>
          <w:rFonts w:ascii="Arial" w:hAnsi="Arial" w:cs="Arial"/>
          <w:b/>
          <w:bCs/>
          <w:sz w:val="22"/>
          <w:szCs w:val="16"/>
        </w:rPr>
        <w:t>Datos de la Operación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1B663A" w:rsidRPr="00B35B11" w14:paraId="5F06DF84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82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Tipo de Operación</w:t>
            </w:r>
          </w:p>
        </w:tc>
        <w:tc>
          <w:tcPr>
            <w:tcW w:w="6379" w:type="dxa"/>
            <w:vAlign w:val="center"/>
          </w:tcPr>
          <w:p w14:paraId="5F06DF83" w14:textId="77777777" w:rsidR="001B663A" w:rsidRPr="00B35B11" w:rsidRDefault="001B663A" w:rsidP="000627AE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Repo de Monedas</w:t>
            </w: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 xml:space="preserve"> MN o ME</w:t>
            </w:r>
          </w:p>
        </w:tc>
      </w:tr>
      <w:tr w:rsidR="001B663A" w:rsidRPr="00B35B11" w14:paraId="5F06DF87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85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N° de Operación</w:t>
            </w:r>
          </w:p>
        </w:tc>
        <w:tc>
          <w:tcPr>
            <w:tcW w:w="6379" w:type="dxa"/>
            <w:vAlign w:val="center"/>
          </w:tcPr>
          <w:p w14:paraId="5F06DF86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Número de la subasta</w:t>
            </w:r>
            <w:r w:rsidRPr="00B35B11" w:rsidDel="009F1F39">
              <w:rPr>
                <w:rFonts w:ascii="Arial" w:hAnsi="Arial" w:cs="Arial"/>
                <w:color w:val="A6A6A6"/>
                <w:sz w:val="22"/>
                <w:szCs w:val="16"/>
              </w:rPr>
              <w:t xml:space="preserve"> </w:t>
            </w: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u operación directa</w:t>
            </w:r>
          </w:p>
        </w:tc>
      </w:tr>
      <w:tr w:rsidR="001B663A" w:rsidRPr="00B35B11" w14:paraId="5F06DF8A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88" w14:textId="5D20FC8A" w:rsidR="001B663A" w:rsidRPr="00B35B11" w:rsidRDefault="00F52D48" w:rsidP="000627AE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Mecanismo</w:t>
            </w:r>
            <w:bookmarkStart w:id="0" w:name="_GoBack"/>
            <w:bookmarkEnd w:id="0"/>
          </w:p>
        </w:tc>
        <w:tc>
          <w:tcPr>
            <w:tcW w:w="6379" w:type="dxa"/>
            <w:vAlign w:val="center"/>
          </w:tcPr>
          <w:p w14:paraId="5F06DF89" w14:textId="77777777" w:rsidR="001B663A" w:rsidRPr="00B35B11" w:rsidRDefault="001B663A" w:rsidP="000627AE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Subasta o Directa</w:t>
            </w:r>
          </w:p>
        </w:tc>
      </w:tr>
      <w:tr w:rsidR="001B663A" w:rsidRPr="00B35B11" w14:paraId="5F06DF8E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8B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Esquema</w:t>
            </w:r>
          </w:p>
        </w:tc>
        <w:tc>
          <w:tcPr>
            <w:tcW w:w="6379" w:type="dxa"/>
            <w:vAlign w:val="center"/>
          </w:tcPr>
          <w:p w14:paraId="5F06DF8C" w14:textId="77777777" w:rsidR="001B663A" w:rsidRDefault="001B663A" w:rsidP="000627AE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>Repo de Monedas MN: Regular, expansión o sustitución.</w:t>
            </w:r>
          </w:p>
          <w:p w14:paraId="5F06DF8D" w14:textId="77777777" w:rsidR="001B663A" w:rsidRPr="00B35B11" w:rsidRDefault="001B663A" w:rsidP="000627AE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>Repo de Monedas ME: Regular</w:t>
            </w:r>
          </w:p>
        </w:tc>
      </w:tr>
      <w:tr w:rsidR="001B663A" w:rsidRPr="00B35B11" w14:paraId="5F06DF91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8F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Periodicidad de la Comisión</w:t>
            </w:r>
          </w:p>
        </w:tc>
        <w:tc>
          <w:tcPr>
            <w:tcW w:w="6379" w:type="dxa"/>
            <w:vAlign w:val="center"/>
          </w:tcPr>
          <w:p w14:paraId="5F06DF90" w14:textId="77777777" w:rsidR="001B663A" w:rsidRPr="00370A6C" w:rsidRDefault="001B663A" w:rsidP="000627AE">
            <w:pPr>
              <w:rPr>
                <w:rFonts w:ascii="Arial" w:hAnsi="Arial" w:cs="Arial"/>
                <w:b/>
                <w:color w:val="000000" w:themeColor="text1"/>
                <w:sz w:val="22"/>
                <w:szCs w:val="16"/>
              </w:rPr>
            </w:pPr>
            <w:r w:rsidRPr="00370A6C">
              <w:rPr>
                <w:rFonts w:ascii="Arial" w:hAnsi="Arial" w:cs="Arial"/>
                <w:b/>
                <w:color w:val="000000" w:themeColor="text1"/>
                <w:sz w:val="22"/>
                <w:szCs w:val="16"/>
              </w:rPr>
              <w:t>Trimestral</w:t>
            </w:r>
          </w:p>
        </w:tc>
      </w:tr>
      <w:tr w:rsidR="001B663A" w:rsidRPr="00B35B11" w14:paraId="5F06DF94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92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Fecha de Venta</w:t>
            </w:r>
          </w:p>
        </w:tc>
        <w:tc>
          <w:tcPr>
            <w:tcW w:w="6379" w:type="dxa"/>
            <w:vAlign w:val="center"/>
          </w:tcPr>
          <w:p w14:paraId="5F06DF93" w14:textId="1019CBB1" w:rsidR="001B663A" w:rsidRPr="00B35B11" w:rsidRDefault="001B663A" w:rsidP="00370A6C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dd-mm-</w:t>
            </w:r>
            <w:proofErr w:type="spellStart"/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aaaa</w:t>
            </w:r>
            <w:proofErr w:type="spellEnd"/>
          </w:p>
        </w:tc>
      </w:tr>
      <w:tr w:rsidR="001B663A" w:rsidRPr="00B35B11" w14:paraId="5F06DF97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95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Fecha de Recompra</w:t>
            </w:r>
          </w:p>
        </w:tc>
        <w:tc>
          <w:tcPr>
            <w:tcW w:w="6379" w:type="dxa"/>
            <w:vAlign w:val="center"/>
          </w:tcPr>
          <w:p w14:paraId="5F06DF96" w14:textId="48A80F68" w:rsidR="001B663A" w:rsidRPr="00B35B11" w:rsidRDefault="001B663A" w:rsidP="00370A6C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dd-mm-</w:t>
            </w:r>
            <w:proofErr w:type="spellStart"/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aaaa</w:t>
            </w:r>
            <w:proofErr w:type="spellEnd"/>
          </w:p>
        </w:tc>
      </w:tr>
      <w:tr w:rsidR="001B663A" w:rsidRPr="00B35B11" w14:paraId="5F06DF9A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98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Monto Inicial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br/>
              <w:t>(Monto de venta)</w:t>
            </w:r>
          </w:p>
        </w:tc>
        <w:tc>
          <w:tcPr>
            <w:tcW w:w="6379" w:type="dxa"/>
            <w:vAlign w:val="center"/>
          </w:tcPr>
          <w:p w14:paraId="5F06DF99" w14:textId="77777777" w:rsidR="001B663A" w:rsidRPr="00B35B11" w:rsidRDefault="001B663A" w:rsidP="000627AE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S/. o US$ expresado en unidades con dos decimales</w:t>
            </w:r>
          </w:p>
        </w:tc>
      </w:tr>
      <w:tr w:rsidR="001B663A" w:rsidRPr="00B35B11" w14:paraId="5F06DF9D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9B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Monto Final</w:t>
            </w:r>
            <w:r>
              <w:rPr>
                <w:rFonts w:ascii="Arial" w:hAnsi="Arial" w:cs="Arial"/>
                <w:sz w:val="22"/>
                <w:szCs w:val="16"/>
              </w:rPr>
              <w:br/>
              <w:t>(Monto de Recompra)</w:t>
            </w:r>
          </w:p>
        </w:tc>
        <w:tc>
          <w:tcPr>
            <w:tcW w:w="6379" w:type="dxa"/>
            <w:vAlign w:val="center"/>
          </w:tcPr>
          <w:p w14:paraId="5F06DF9C" w14:textId="77777777" w:rsidR="001B663A" w:rsidRPr="00163D30" w:rsidRDefault="001B663A" w:rsidP="000627AE">
            <w:pPr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163D30">
              <w:rPr>
                <w:rFonts w:ascii="Arial" w:hAnsi="Arial" w:cs="Arial"/>
                <w:color w:val="000000" w:themeColor="text1"/>
                <w:sz w:val="22"/>
                <w:szCs w:val="16"/>
              </w:rPr>
              <w:t>Monto Inicial m</w:t>
            </w:r>
            <w:r>
              <w:rPr>
                <w:rFonts w:ascii="Arial" w:hAnsi="Arial" w:cs="Arial"/>
                <w:color w:val="000000" w:themeColor="text1"/>
                <w:sz w:val="22"/>
                <w:szCs w:val="16"/>
              </w:rPr>
              <w:t>ás la C</w:t>
            </w:r>
            <w:r w:rsidRPr="00163D30">
              <w:rPr>
                <w:rFonts w:ascii="Arial" w:hAnsi="Arial" w:cs="Arial"/>
                <w:color w:val="000000" w:themeColor="text1"/>
                <w:sz w:val="22"/>
                <w:szCs w:val="16"/>
              </w:rPr>
              <w:t>omisi</w:t>
            </w:r>
            <w:r>
              <w:rPr>
                <w:rFonts w:ascii="Arial" w:hAnsi="Arial" w:cs="Arial"/>
                <w:color w:val="000000" w:themeColor="text1"/>
                <w:sz w:val="22"/>
                <w:szCs w:val="16"/>
              </w:rPr>
              <w:t>ón correspondiente al último trimestre</w:t>
            </w:r>
          </w:p>
        </w:tc>
      </w:tr>
      <w:tr w:rsidR="001B663A" w:rsidRPr="00B35B11" w14:paraId="5F06DFA0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9E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Tipo de descuento</w:t>
            </w:r>
          </w:p>
        </w:tc>
        <w:tc>
          <w:tcPr>
            <w:tcW w:w="6379" w:type="dxa"/>
            <w:vAlign w:val="center"/>
          </w:tcPr>
          <w:p w14:paraId="5F06DF9F" w14:textId="77777777" w:rsidR="001B663A" w:rsidRPr="00B35B11" w:rsidRDefault="001B663A" w:rsidP="000627AE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>Fijo o Variable</w:t>
            </w:r>
          </w:p>
        </w:tc>
      </w:tr>
      <w:tr w:rsidR="001B663A" w:rsidRPr="00B35B11" w14:paraId="5F06DFA4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A1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Descuento</w:t>
            </w:r>
          </w:p>
        </w:tc>
        <w:tc>
          <w:tcPr>
            <w:tcW w:w="6379" w:type="dxa"/>
            <w:vAlign w:val="center"/>
          </w:tcPr>
          <w:p w14:paraId="5F06DFA2" w14:textId="77777777" w:rsidR="001B663A" w:rsidRDefault="001B663A" w:rsidP="000627AE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 xml:space="preserve">Fijo: Porcentaje con </w:t>
            </w:r>
            <w:r w:rsidR="00D512DE">
              <w:rPr>
                <w:rFonts w:ascii="Arial" w:hAnsi="Arial" w:cs="Arial"/>
                <w:color w:val="A6A6A6"/>
                <w:sz w:val="22"/>
                <w:szCs w:val="16"/>
              </w:rPr>
              <w:t>cuatro</w:t>
            </w:r>
            <w:r>
              <w:rPr>
                <w:rFonts w:ascii="Arial" w:hAnsi="Arial" w:cs="Arial"/>
                <w:color w:val="A6A6A6"/>
                <w:sz w:val="22"/>
                <w:szCs w:val="16"/>
              </w:rPr>
              <w:t xml:space="preserve"> decimales</w:t>
            </w:r>
          </w:p>
          <w:p w14:paraId="5F06DFA3" w14:textId="77777777" w:rsidR="001B663A" w:rsidRPr="00B35B11" w:rsidRDefault="001B663A" w:rsidP="000627AE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>Variable: Tasa o índice de referencia</w:t>
            </w:r>
          </w:p>
        </w:tc>
      </w:tr>
      <w:tr w:rsidR="001B663A" w:rsidRPr="00B35B11" w14:paraId="5F06DFA7" w14:textId="77777777" w:rsidTr="000627AE">
        <w:trPr>
          <w:trHeight w:val="474"/>
        </w:trPr>
        <w:tc>
          <w:tcPr>
            <w:tcW w:w="2977" w:type="dxa"/>
            <w:vAlign w:val="center"/>
          </w:tcPr>
          <w:p w14:paraId="5F06DFA5" w14:textId="77777777" w:rsidR="001B663A" w:rsidRPr="00B35B11" w:rsidRDefault="001B663A" w:rsidP="000627AE">
            <w:pPr>
              <w:rPr>
                <w:rFonts w:ascii="Arial" w:hAnsi="Arial" w:cs="Arial"/>
                <w:sz w:val="22"/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Tipo de cambio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5F06DFA6" w14:textId="77777777" w:rsidR="001B663A" w:rsidRPr="00B35B11" w:rsidRDefault="001B663A" w:rsidP="000627AE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B35B11">
              <w:rPr>
                <w:rFonts w:ascii="Arial" w:hAnsi="Arial" w:cs="Arial"/>
                <w:color w:val="A6A6A6"/>
                <w:sz w:val="22"/>
                <w:szCs w:val="16"/>
              </w:rPr>
              <w:t>Unidades con cuatro decimales</w:t>
            </w:r>
          </w:p>
        </w:tc>
      </w:tr>
    </w:tbl>
    <w:p w14:paraId="5F06DFA8" w14:textId="77777777" w:rsidR="001B663A" w:rsidRDefault="001B663A" w:rsidP="001B663A">
      <w:pPr>
        <w:rPr>
          <w:szCs w:val="16"/>
        </w:rPr>
      </w:pPr>
    </w:p>
    <w:p w14:paraId="5F06DFA9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ind w:left="6923" w:hanging="6923"/>
        <w:jc w:val="both"/>
        <w:rPr>
          <w:rFonts w:ascii="Arial" w:hAnsi="Arial" w:cs="Arial"/>
          <w:b/>
          <w:bCs/>
          <w:sz w:val="22"/>
          <w:szCs w:val="16"/>
        </w:rPr>
      </w:pPr>
      <w:r>
        <w:rPr>
          <w:rFonts w:ascii="Arial" w:hAnsi="Arial" w:cs="Arial"/>
          <w:b/>
          <w:bCs/>
          <w:sz w:val="22"/>
          <w:szCs w:val="16"/>
        </w:rPr>
        <w:t>Moneda Objeto de la Operación</w:t>
      </w:r>
      <w:r>
        <w:rPr>
          <w:rStyle w:val="Refdenotaalpie"/>
          <w:sz w:val="22"/>
          <w:szCs w:val="16"/>
        </w:rPr>
        <w:footnoteReference w:id="1"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46"/>
        <w:gridCol w:w="6245"/>
      </w:tblGrid>
      <w:tr w:rsidR="001B663A" w14:paraId="5F06DFAC" w14:textId="77777777" w:rsidTr="000627AE">
        <w:trPr>
          <w:trHeight w:val="479"/>
        </w:trPr>
        <w:tc>
          <w:tcPr>
            <w:tcW w:w="2977" w:type="dxa"/>
            <w:vAlign w:val="center"/>
          </w:tcPr>
          <w:p w14:paraId="5F06DFAA" w14:textId="77777777" w:rsidR="001B663A" w:rsidRDefault="001B663A" w:rsidP="000627AE">
            <w:pPr>
              <w:rPr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Denomina</w:t>
            </w:r>
            <w:r w:rsidRPr="00B35B11">
              <w:rPr>
                <w:rFonts w:ascii="Arial" w:hAnsi="Arial" w:cs="Arial"/>
                <w:sz w:val="22"/>
                <w:szCs w:val="16"/>
              </w:rPr>
              <w:t>ción</w:t>
            </w:r>
          </w:p>
        </w:tc>
        <w:tc>
          <w:tcPr>
            <w:tcW w:w="6364" w:type="dxa"/>
            <w:vAlign w:val="center"/>
          </w:tcPr>
          <w:p w14:paraId="5F06DFAB" w14:textId="77777777" w:rsidR="001B663A" w:rsidRPr="002C1568" w:rsidRDefault="001B663A" w:rsidP="000627AE">
            <w:pPr>
              <w:rPr>
                <w:color w:val="A6A6A6" w:themeColor="background1" w:themeShade="A6"/>
                <w:szCs w:val="16"/>
              </w:rPr>
            </w:pPr>
            <w:r w:rsidRPr="002C1568">
              <w:rPr>
                <w:rFonts w:ascii="Arial" w:hAnsi="Arial" w:cs="Arial"/>
                <w:color w:val="A6A6A6" w:themeColor="background1" w:themeShade="A6"/>
                <w:sz w:val="22"/>
                <w:szCs w:val="16"/>
              </w:rPr>
              <w:t>Dólares de los EEUU o Nuevos Soles</w:t>
            </w:r>
          </w:p>
        </w:tc>
      </w:tr>
      <w:tr w:rsidR="001B663A" w14:paraId="5F06DFAF" w14:textId="77777777" w:rsidTr="000627AE">
        <w:trPr>
          <w:trHeight w:val="426"/>
        </w:trPr>
        <w:tc>
          <w:tcPr>
            <w:tcW w:w="2977" w:type="dxa"/>
            <w:vAlign w:val="center"/>
          </w:tcPr>
          <w:p w14:paraId="5F06DFAD" w14:textId="77777777" w:rsidR="001B663A" w:rsidRDefault="001B663A" w:rsidP="000627AE">
            <w:pPr>
              <w:rPr>
                <w:szCs w:val="16"/>
              </w:rPr>
            </w:pPr>
            <w:r w:rsidRPr="00B35B11">
              <w:rPr>
                <w:rFonts w:ascii="Arial" w:hAnsi="Arial" w:cs="Arial"/>
                <w:sz w:val="22"/>
                <w:szCs w:val="16"/>
              </w:rPr>
              <w:t>M</w:t>
            </w:r>
            <w:r>
              <w:rPr>
                <w:rFonts w:ascii="Arial" w:hAnsi="Arial" w:cs="Arial"/>
                <w:sz w:val="22"/>
                <w:szCs w:val="16"/>
              </w:rPr>
              <w:t>onto</w:t>
            </w:r>
          </w:p>
        </w:tc>
        <w:tc>
          <w:tcPr>
            <w:tcW w:w="6364" w:type="dxa"/>
            <w:vAlign w:val="center"/>
          </w:tcPr>
          <w:p w14:paraId="5F06DFAE" w14:textId="77777777" w:rsidR="001B663A" w:rsidRPr="002C1568" w:rsidRDefault="001B663A" w:rsidP="000627AE">
            <w:pPr>
              <w:rPr>
                <w:color w:val="A6A6A6" w:themeColor="background1" w:themeShade="A6"/>
                <w:szCs w:val="16"/>
              </w:rPr>
            </w:pPr>
            <w:r w:rsidRPr="002C1568">
              <w:rPr>
                <w:rFonts w:ascii="Arial" w:hAnsi="Arial" w:cs="Arial"/>
                <w:color w:val="A6A6A6" w:themeColor="background1" w:themeShade="A6"/>
                <w:sz w:val="22"/>
                <w:szCs w:val="16"/>
              </w:rPr>
              <w:t>US$ o S/. expresado en unidades con dos decimales</w:t>
            </w:r>
          </w:p>
        </w:tc>
      </w:tr>
    </w:tbl>
    <w:p w14:paraId="5F06DFB0" w14:textId="77777777" w:rsidR="001B663A" w:rsidRPr="00B35B11" w:rsidRDefault="001B663A" w:rsidP="001B663A">
      <w:pPr>
        <w:rPr>
          <w:szCs w:val="16"/>
        </w:rPr>
      </w:pPr>
    </w:p>
    <w:p w14:paraId="5F06DFB1" w14:textId="77777777" w:rsidR="001B663A" w:rsidRPr="00B35B11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B35B11">
        <w:rPr>
          <w:rFonts w:ascii="Arial" w:hAnsi="Arial" w:cs="Arial"/>
          <w:sz w:val="22"/>
          <w:szCs w:val="22"/>
        </w:rPr>
        <w:t xml:space="preserve">El presente Contrato Específico se complementa </w:t>
      </w:r>
      <w:r>
        <w:rPr>
          <w:rFonts w:ascii="Arial" w:hAnsi="Arial" w:cs="Arial"/>
          <w:sz w:val="22"/>
          <w:szCs w:val="22"/>
        </w:rPr>
        <w:t xml:space="preserve">con </w:t>
      </w:r>
      <w:r w:rsidRPr="00B35B11">
        <w:rPr>
          <w:rFonts w:ascii="Arial" w:hAnsi="Arial" w:cs="Arial"/>
          <w:sz w:val="22"/>
          <w:szCs w:val="22"/>
        </w:rPr>
        <w:t>los términos y condiciones contenidos en el Contrato Marco referido en el primer párrafo</w:t>
      </w:r>
      <w:r>
        <w:rPr>
          <w:rFonts w:ascii="Arial" w:hAnsi="Arial" w:cs="Arial"/>
          <w:sz w:val="22"/>
          <w:szCs w:val="22"/>
        </w:rPr>
        <w:t>; juntos, constituyen un Contrato de Reporte de Monedas. Este último se rige, además, por las disposiciones establecidas en la Circular que regula las Operaciones de Reporte de Monedas del BCRP</w:t>
      </w:r>
      <w:r w:rsidRPr="00B35B11">
        <w:rPr>
          <w:rFonts w:ascii="Arial" w:hAnsi="Arial" w:cs="Arial"/>
          <w:sz w:val="22"/>
          <w:szCs w:val="22"/>
        </w:rPr>
        <w:t>.</w:t>
      </w:r>
    </w:p>
    <w:p w14:paraId="5F06DFB2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18"/>
        </w:rPr>
      </w:pPr>
    </w:p>
    <w:p w14:paraId="5F06DFB3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  <w:r w:rsidRPr="009A308F">
        <w:rPr>
          <w:rFonts w:ascii="Arial" w:hAnsi="Arial" w:cs="Arial"/>
          <w:b/>
          <w:sz w:val="22"/>
          <w:szCs w:val="22"/>
        </w:rPr>
        <w:t>Cálculo de la Comisión</w:t>
      </w:r>
    </w:p>
    <w:p w14:paraId="5F06DFB4" w14:textId="77777777" w:rsidR="008839A9" w:rsidRDefault="008839A9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F06DFB5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9A308F">
        <w:rPr>
          <w:rFonts w:ascii="Arial" w:hAnsi="Arial" w:cs="Arial"/>
          <w:sz w:val="22"/>
          <w:szCs w:val="22"/>
        </w:rPr>
        <w:t xml:space="preserve">La Comisión será calculada </w:t>
      </w:r>
      <w:r>
        <w:rPr>
          <w:rFonts w:ascii="Arial" w:hAnsi="Arial" w:cs="Arial"/>
          <w:sz w:val="22"/>
          <w:szCs w:val="22"/>
        </w:rPr>
        <w:t xml:space="preserve">cada trimestre </w:t>
      </w:r>
      <w:r w:rsidRPr="009A308F">
        <w:rPr>
          <w:rFonts w:ascii="Arial" w:hAnsi="Arial" w:cs="Arial"/>
          <w:sz w:val="22"/>
          <w:szCs w:val="22"/>
        </w:rPr>
        <w:t>por el BCRP</w:t>
      </w:r>
      <w:r w:rsidR="003276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utilizando la información detallada en el Anexo</w:t>
      </w:r>
      <w:r w:rsidR="0032767A">
        <w:rPr>
          <w:rFonts w:ascii="Arial" w:hAnsi="Arial" w:cs="Arial"/>
          <w:sz w:val="22"/>
          <w:szCs w:val="22"/>
        </w:rPr>
        <w:t>,</w:t>
      </w:r>
      <w:r w:rsidRPr="009A3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la siguiente manera:</w:t>
      </w:r>
    </w:p>
    <w:p w14:paraId="5F06DFB6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F06DFB7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F06DFB8" w14:textId="77777777" w:rsidR="001B663A" w:rsidRPr="009A308F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Comisión=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 w:cs="Arial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2"/>
                  <w:szCs w:val="2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1+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="Arial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360</m:t>
                              </m:r>
                            </m:den>
                          </m:f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1+v</m:t>
                      </m:r>
                    </m:den>
                  </m:f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d>
            </m:e>
          </m:nary>
        </m:oMath>
      </m:oMathPara>
    </w:p>
    <w:p w14:paraId="5F06DFB9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F06DFBA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Donde</w:t>
      </w:r>
    </w:p>
    <w:p w14:paraId="5F06DFBB" w14:textId="77777777" w:rsidR="001B663A" w:rsidRPr="000627AE" w:rsidRDefault="001B663A" w:rsidP="001B663A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i/>
          <w:iCs/>
          <w:color w:val="000000"/>
          <w:sz w:val="22"/>
        </w:rPr>
        <w:t>n</w:t>
      </w:r>
      <w:r w:rsidRPr="000627AE">
        <w:rPr>
          <w:rFonts w:ascii="Arial" w:hAnsi="Arial" w:cs="Arial"/>
          <w:i/>
          <w:iCs/>
          <w:color w:val="000000"/>
          <w:sz w:val="22"/>
        </w:rPr>
        <w:t xml:space="preserve"> = </w:t>
      </w:r>
      <w:r>
        <w:rPr>
          <w:rFonts w:ascii="Arial" w:hAnsi="Arial" w:cs="Arial"/>
          <w:color w:val="000000"/>
          <w:sz w:val="22"/>
        </w:rPr>
        <w:t>Número de propuestas</w:t>
      </w:r>
    </w:p>
    <w:p w14:paraId="5F06DFBC" w14:textId="77777777" w:rsidR="001B663A" w:rsidRPr="004344AB" w:rsidRDefault="00F52D48" w:rsidP="001B663A">
      <w:pPr>
        <w:jc w:val="both"/>
        <w:rPr>
          <w:rFonts w:ascii="Arial" w:hAnsi="Arial" w:cs="Arial"/>
          <w:color w:val="000000"/>
          <w:sz w:val="22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</w:rPr>
              <m:t>M</m:t>
            </m:r>
          </m:e>
          <m:sub>
            <m:r>
              <w:rPr>
                <w:rFonts w:ascii="Cambria Math" w:hAnsi="Cambria Math" w:cs="Arial"/>
                <w:color w:val="000000"/>
                <w:sz w:val="22"/>
              </w:rPr>
              <m:t>i</m:t>
            </m:r>
          </m:sub>
        </m:sSub>
      </m:oMath>
      <w:r w:rsidR="001B663A" w:rsidRPr="004344AB">
        <w:rPr>
          <w:rFonts w:ascii="Arial" w:hAnsi="Arial" w:cs="Arial"/>
          <w:i/>
          <w:iCs/>
          <w:color w:val="000000"/>
          <w:sz w:val="22"/>
        </w:rPr>
        <w:t xml:space="preserve"> = </w:t>
      </w:r>
      <w:r w:rsidR="001B663A" w:rsidRPr="004344AB">
        <w:rPr>
          <w:rFonts w:ascii="Arial" w:hAnsi="Arial" w:cs="Arial"/>
          <w:iCs/>
          <w:color w:val="000000"/>
          <w:sz w:val="22"/>
        </w:rPr>
        <w:t xml:space="preserve">Monto </w:t>
      </w:r>
      <w:r w:rsidR="001B663A" w:rsidRPr="004344AB">
        <w:rPr>
          <w:rFonts w:ascii="Arial" w:hAnsi="Arial" w:cs="Arial"/>
          <w:color w:val="000000"/>
          <w:sz w:val="22"/>
        </w:rPr>
        <w:t>de la propuesta i-</w:t>
      </w:r>
      <w:proofErr w:type="spellStart"/>
      <w:r w:rsidR="001B663A" w:rsidRPr="004344AB">
        <w:rPr>
          <w:rFonts w:ascii="Arial" w:hAnsi="Arial" w:cs="Arial"/>
          <w:color w:val="000000"/>
          <w:sz w:val="22"/>
        </w:rPr>
        <w:t>ésima</w:t>
      </w:r>
      <w:proofErr w:type="spellEnd"/>
    </w:p>
    <w:p w14:paraId="5F06DFBD" w14:textId="77777777" w:rsidR="001B663A" w:rsidRPr="004344AB" w:rsidRDefault="00F52D48" w:rsidP="001B663A">
      <w:pPr>
        <w:jc w:val="both"/>
        <w:rPr>
          <w:rFonts w:ascii="Arial" w:hAnsi="Arial" w:cs="Arial"/>
          <w:color w:val="000000"/>
          <w:sz w:val="22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</w:rPr>
              <m:t>i</m:t>
            </m:r>
          </m:sub>
        </m:sSub>
      </m:oMath>
      <w:r w:rsidR="001B663A" w:rsidRPr="004344AB">
        <w:rPr>
          <w:rFonts w:ascii="Arial" w:hAnsi="Arial" w:cs="Arial"/>
          <w:color w:val="000000"/>
          <w:sz w:val="22"/>
        </w:rPr>
        <w:t xml:space="preserve"> = Tasa de la propuesta i-ésima</w:t>
      </w:r>
    </w:p>
    <w:p w14:paraId="5F06DFBE" w14:textId="77777777" w:rsidR="001B663A" w:rsidRDefault="001B663A" w:rsidP="001B663A">
      <w:pPr>
        <w:jc w:val="both"/>
        <w:rPr>
          <w:rFonts w:ascii="Arial" w:hAnsi="Arial" w:cs="Arial"/>
          <w:color w:val="000000"/>
          <w:sz w:val="22"/>
        </w:rPr>
      </w:pPr>
      <w:r w:rsidRPr="004344AB">
        <w:rPr>
          <w:rFonts w:ascii="Arial" w:hAnsi="Arial" w:cs="Arial"/>
          <w:i/>
          <w:iCs/>
          <w:color w:val="000000"/>
          <w:sz w:val="22"/>
        </w:rPr>
        <w:t xml:space="preserve">t = </w:t>
      </w:r>
      <w:r>
        <w:rPr>
          <w:rFonts w:ascii="Arial" w:hAnsi="Arial" w:cs="Arial"/>
          <w:color w:val="000000"/>
          <w:sz w:val="22"/>
        </w:rPr>
        <w:t>Número de días calendarios en el trimestre</w:t>
      </w:r>
    </w:p>
    <w:p w14:paraId="5F06DFBF" w14:textId="77777777" w:rsidR="001B663A" w:rsidRPr="000627AE" w:rsidRDefault="001B663A" w:rsidP="001B663A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i/>
          <w:iCs/>
          <w:color w:val="000000"/>
          <w:sz w:val="22"/>
        </w:rPr>
        <w:t>v</w:t>
      </w:r>
      <w:r w:rsidRPr="000627AE">
        <w:rPr>
          <w:rFonts w:ascii="Arial" w:hAnsi="Arial" w:cs="Arial"/>
          <w:i/>
          <w:iCs/>
          <w:color w:val="000000"/>
          <w:sz w:val="22"/>
        </w:rPr>
        <w:t xml:space="preserve"> </w:t>
      </w:r>
      <w:r w:rsidRPr="004344AB">
        <w:rPr>
          <w:rFonts w:ascii="Arial" w:hAnsi="Arial" w:cs="Arial"/>
          <w:iCs/>
          <w:color w:val="000000"/>
          <w:sz w:val="22"/>
        </w:rPr>
        <w:t xml:space="preserve">= Descuento </w:t>
      </w:r>
      <w:r w:rsidR="00B307CF">
        <w:rPr>
          <w:rFonts w:ascii="Arial" w:hAnsi="Arial" w:cs="Arial"/>
          <w:iCs/>
          <w:color w:val="000000"/>
          <w:sz w:val="22"/>
        </w:rPr>
        <w:t>a</w:t>
      </w:r>
      <w:r w:rsidR="0032767A">
        <w:rPr>
          <w:rFonts w:ascii="Arial" w:hAnsi="Arial" w:cs="Arial"/>
          <w:iCs/>
          <w:color w:val="000000"/>
          <w:sz w:val="22"/>
        </w:rPr>
        <w:t>plicable a</w:t>
      </w:r>
      <w:r>
        <w:rPr>
          <w:rFonts w:ascii="Arial" w:hAnsi="Arial" w:cs="Arial"/>
          <w:iCs/>
          <w:color w:val="000000"/>
          <w:sz w:val="22"/>
        </w:rPr>
        <w:t>l trimestre</w:t>
      </w:r>
      <w:r w:rsidR="0032767A">
        <w:rPr>
          <w:rFonts w:ascii="Arial" w:hAnsi="Arial" w:cs="Arial"/>
          <w:iCs/>
          <w:color w:val="000000"/>
          <w:sz w:val="22"/>
        </w:rPr>
        <w:t>,</w:t>
      </w:r>
      <w:r>
        <w:rPr>
          <w:rFonts w:ascii="Arial" w:hAnsi="Arial" w:cs="Arial"/>
          <w:iCs/>
          <w:color w:val="000000"/>
          <w:sz w:val="22"/>
        </w:rPr>
        <w:t xml:space="preserve"> ajustado por </w:t>
      </w:r>
      <w:r w:rsidRPr="004344AB">
        <w:rPr>
          <w:rFonts w:ascii="Arial" w:hAnsi="Arial" w:cs="Arial"/>
          <w:i/>
          <w:iCs/>
          <w:color w:val="000000"/>
          <w:sz w:val="22"/>
        </w:rPr>
        <w:t>t</w:t>
      </w:r>
    </w:p>
    <w:p w14:paraId="5F06DFC0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F06DFC1" w14:textId="77777777" w:rsidR="001B663A" w:rsidRPr="009A308F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color w:val="000000" w:themeColor="text1"/>
          <w:sz w:val="22"/>
          <w:szCs w:val="18"/>
        </w:rPr>
      </w:pPr>
      <w:r w:rsidRPr="009A308F">
        <w:rPr>
          <w:rFonts w:ascii="Arial" w:hAnsi="Arial" w:cs="Arial"/>
          <w:b/>
          <w:color w:val="000000" w:themeColor="text1"/>
          <w:sz w:val="22"/>
          <w:szCs w:val="18"/>
        </w:rPr>
        <w:t xml:space="preserve">Pago de la comisión </w:t>
      </w:r>
    </w:p>
    <w:p w14:paraId="5F06DFC2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0E76AC">
        <w:rPr>
          <w:rFonts w:ascii="Arial" w:hAnsi="Arial" w:cs="Arial"/>
          <w:color w:val="000000" w:themeColor="text1"/>
          <w:sz w:val="22"/>
          <w:szCs w:val="18"/>
        </w:rPr>
        <w:t xml:space="preserve">El </w:t>
      </w:r>
      <w:r>
        <w:rPr>
          <w:rFonts w:ascii="Arial" w:hAnsi="Arial" w:cs="Arial"/>
          <w:color w:val="000000" w:themeColor="text1"/>
          <w:sz w:val="22"/>
          <w:szCs w:val="18"/>
        </w:rPr>
        <w:t>pago</w:t>
      </w:r>
      <w:r w:rsidRPr="000E76AC">
        <w:rPr>
          <w:rFonts w:ascii="Arial" w:hAnsi="Arial" w:cs="Arial"/>
          <w:color w:val="000000" w:themeColor="text1"/>
          <w:sz w:val="22"/>
          <w:szCs w:val="18"/>
        </w:rPr>
        <w:t xml:space="preserve"> de</w:t>
      </w:r>
      <w:r>
        <w:rPr>
          <w:rFonts w:ascii="Arial" w:hAnsi="Arial" w:cs="Arial"/>
          <w:color w:val="FF0000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comisión trimestral se efectuará mediante cargo </w:t>
      </w:r>
      <w:r w:rsidRPr="00F91906">
        <w:rPr>
          <w:rFonts w:ascii="Arial" w:hAnsi="Arial" w:cs="Arial"/>
          <w:sz w:val="22"/>
          <w:szCs w:val="22"/>
        </w:rPr>
        <w:t xml:space="preserve">automático en las cuentas que </w:t>
      </w:r>
      <w:r w:rsidRPr="009A308F">
        <w:rPr>
          <w:rFonts w:ascii="Arial" w:hAnsi="Arial" w:cs="Arial"/>
          <w:sz w:val="22"/>
          <w:szCs w:val="18"/>
        </w:rPr>
        <w:t>la EP mantiene en e</w:t>
      </w:r>
      <w:r w:rsidRPr="009A308F">
        <w:rPr>
          <w:rFonts w:ascii="Arial" w:hAnsi="Arial" w:cs="Arial"/>
          <w:sz w:val="22"/>
          <w:szCs w:val="22"/>
        </w:rPr>
        <w:t>l BCRP</w:t>
      </w:r>
      <w:r w:rsidRPr="00F91906">
        <w:rPr>
          <w:rFonts w:ascii="Arial" w:hAnsi="Arial" w:cs="Arial"/>
          <w:sz w:val="22"/>
          <w:szCs w:val="22"/>
        </w:rPr>
        <w:t xml:space="preserve"> por los montos y en las fechas correspo</w:t>
      </w:r>
      <w:r w:rsidRPr="00FD7EE3"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z w:val="22"/>
          <w:szCs w:val="22"/>
        </w:rPr>
        <w:t>ientes</w:t>
      </w:r>
      <w:r w:rsidRPr="00FD7EE3">
        <w:rPr>
          <w:rFonts w:ascii="Arial" w:hAnsi="Arial" w:cs="Arial"/>
          <w:sz w:val="22"/>
          <w:szCs w:val="22"/>
        </w:rPr>
        <w:t>.</w:t>
      </w:r>
      <w:r w:rsidRPr="000E76AC">
        <w:rPr>
          <w:rFonts w:ascii="Arial" w:hAnsi="Arial" w:cs="Arial"/>
          <w:sz w:val="22"/>
          <w:szCs w:val="22"/>
        </w:rPr>
        <w:t xml:space="preserve"> </w:t>
      </w:r>
      <w:r w:rsidRPr="00601DF7">
        <w:rPr>
          <w:rFonts w:ascii="Arial" w:hAnsi="Arial" w:cs="Arial"/>
          <w:sz w:val="22"/>
          <w:szCs w:val="22"/>
        </w:rPr>
        <w:t xml:space="preserve">Si la fecha de </w:t>
      </w:r>
      <w:r>
        <w:rPr>
          <w:rFonts w:ascii="Arial" w:hAnsi="Arial" w:cs="Arial"/>
          <w:sz w:val="22"/>
          <w:szCs w:val="22"/>
        </w:rPr>
        <w:t>pago</w:t>
      </w:r>
      <w:r w:rsidRPr="00601DF7">
        <w:rPr>
          <w:rFonts w:ascii="Arial" w:hAnsi="Arial" w:cs="Arial"/>
          <w:sz w:val="22"/>
          <w:szCs w:val="22"/>
        </w:rPr>
        <w:t xml:space="preserve"> no fuera un día hábil, </w:t>
      </w:r>
      <w:r>
        <w:rPr>
          <w:rFonts w:ascii="Arial" w:hAnsi="Arial" w:cs="Arial"/>
          <w:sz w:val="22"/>
          <w:szCs w:val="22"/>
        </w:rPr>
        <w:t>éste</w:t>
      </w:r>
      <w:r w:rsidRPr="00601DF7">
        <w:rPr>
          <w:rFonts w:ascii="Arial" w:hAnsi="Arial" w:cs="Arial"/>
          <w:sz w:val="22"/>
          <w:szCs w:val="22"/>
        </w:rPr>
        <w:t xml:space="preserve"> se realizará el día hábil siguiente.</w:t>
      </w:r>
      <w:r>
        <w:rPr>
          <w:rFonts w:ascii="Arial" w:hAnsi="Arial" w:cs="Arial"/>
          <w:sz w:val="22"/>
          <w:szCs w:val="22"/>
        </w:rPr>
        <w:t xml:space="preserve"> La primera comisión será pagada a los tres meses contados desde </w:t>
      </w:r>
      <w:r w:rsidRPr="00601DF7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F</w:t>
      </w:r>
      <w:r w:rsidRPr="00601DF7">
        <w:rPr>
          <w:rFonts w:ascii="Arial" w:hAnsi="Arial" w:cs="Arial"/>
          <w:sz w:val="22"/>
          <w:szCs w:val="22"/>
        </w:rPr>
        <w:t xml:space="preserve">echa de </w:t>
      </w:r>
      <w:r>
        <w:rPr>
          <w:rFonts w:ascii="Arial" w:hAnsi="Arial" w:cs="Arial"/>
          <w:sz w:val="22"/>
          <w:szCs w:val="22"/>
        </w:rPr>
        <w:t>Venta</w:t>
      </w:r>
      <w:r w:rsidRPr="00601DF7">
        <w:rPr>
          <w:rFonts w:ascii="Arial" w:hAnsi="Arial" w:cs="Arial"/>
          <w:sz w:val="22"/>
          <w:szCs w:val="22"/>
        </w:rPr>
        <w:t xml:space="preserve">, mientras que </w:t>
      </w:r>
      <w:r>
        <w:rPr>
          <w:rFonts w:ascii="Arial" w:hAnsi="Arial" w:cs="Arial"/>
          <w:sz w:val="22"/>
          <w:szCs w:val="22"/>
        </w:rPr>
        <w:t xml:space="preserve">la última comisión será pagada </w:t>
      </w:r>
      <w:r w:rsidRPr="00601DF7">
        <w:rPr>
          <w:rFonts w:ascii="Arial" w:hAnsi="Arial" w:cs="Arial"/>
          <w:sz w:val="22"/>
          <w:szCs w:val="22"/>
        </w:rPr>
        <w:t xml:space="preserve">en la </w:t>
      </w:r>
      <w:r>
        <w:rPr>
          <w:rFonts w:ascii="Arial" w:hAnsi="Arial" w:cs="Arial"/>
          <w:sz w:val="22"/>
          <w:szCs w:val="22"/>
        </w:rPr>
        <w:t>F</w:t>
      </w:r>
      <w:r w:rsidRPr="00601DF7">
        <w:rPr>
          <w:rFonts w:ascii="Arial" w:hAnsi="Arial" w:cs="Arial"/>
          <w:sz w:val="22"/>
          <w:szCs w:val="22"/>
        </w:rPr>
        <w:t xml:space="preserve">echa de </w:t>
      </w:r>
      <w:r>
        <w:rPr>
          <w:rFonts w:ascii="Arial" w:hAnsi="Arial" w:cs="Arial"/>
          <w:sz w:val="22"/>
          <w:szCs w:val="22"/>
        </w:rPr>
        <w:t>Recompra y es parte del Monto Final</w:t>
      </w:r>
      <w:r w:rsidRPr="00601D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65B0E">
        <w:rPr>
          <w:rFonts w:ascii="Arial" w:hAnsi="Arial" w:cs="Arial"/>
          <w:sz w:val="22"/>
          <w:szCs w:val="22"/>
        </w:rPr>
        <w:t>El incumplimiento del pago de la comisión trimestral</w:t>
      </w:r>
      <w:r>
        <w:rPr>
          <w:rFonts w:ascii="Arial" w:hAnsi="Arial" w:cs="Arial"/>
          <w:sz w:val="22"/>
          <w:szCs w:val="22"/>
        </w:rPr>
        <w:t xml:space="preserve"> c</w:t>
      </w:r>
      <w:r w:rsidRPr="00865B0E">
        <w:rPr>
          <w:rFonts w:ascii="Arial" w:hAnsi="Arial" w:cs="Arial"/>
          <w:sz w:val="22"/>
          <w:szCs w:val="22"/>
        </w:rPr>
        <w:t xml:space="preserve">onstituye </w:t>
      </w:r>
      <w:r>
        <w:rPr>
          <w:rFonts w:ascii="Arial" w:hAnsi="Arial" w:cs="Arial"/>
          <w:sz w:val="22"/>
          <w:szCs w:val="22"/>
        </w:rPr>
        <w:t>un E</w:t>
      </w:r>
      <w:r w:rsidRPr="00865B0E">
        <w:rPr>
          <w:rFonts w:ascii="Arial" w:hAnsi="Arial" w:cs="Arial"/>
          <w:sz w:val="22"/>
          <w:szCs w:val="22"/>
        </w:rPr>
        <w:t xml:space="preserve">vento </w:t>
      </w:r>
      <w:r>
        <w:rPr>
          <w:rFonts w:ascii="Arial" w:hAnsi="Arial" w:cs="Arial"/>
          <w:sz w:val="22"/>
          <w:szCs w:val="22"/>
        </w:rPr>
        <w:t>de</w:t>
      </w:r>
      <w:r w:rsidRPr="00865B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865B0E">
        <w:rPr>
          <w:rFonts w:ascii="Arial" w:hAnsi="Arial" w:cs="Arial"/>
          <w:sz w:val="22"/>
          <w:szCs w:val="22"/>
        </w:rPr>
        <w:t xml:space="preserve">encimiento </w:t>
      </w:r>
      <w:r>
        <w:rPr>
          <w:rFonts w:ascii="Arial" w:hAnsi="Arial" w:cs="Arial"/>
          <w:sz w:val="22"/>
          <w:szCs w:val="22"/>
        </w:rPr>
        <w:t>A</w:t>
      </w:r>
      <w:r w:rsidRPr="00865B0E">
        <w:rPr>
          <w:rFonts w:ascii="Arial" w:hAnsi="Arial" w:cs="Arial"/>
          <w:sz w:val="22"/>
          <w:szCs w:val="22"/>
        </w:rPr>
        <w:t>nticipado de la Operaci</w:t>
      </w:r>
      <w:r>
        <w:rPr>
          <w:rFonts w:ascii="Arial" w:hAnsi="Arial" w:cs="Arial"/>
          <w:sz w:val="22"/>
          <w:szCs w:val="22"/>
        </w:rPr>
        <w:t>ó</w:t>
      </w:r>
      <w:r w:rsidRPr="00865B0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, sujeto a los términos previstos en la Cláusula Décima Segunda del Contrato Marco</w:t>
      </w:r>
      <w:r w:rsidRPr="00865B0E">
        <w:rPr>
          <w:rFonts w:ascii="Arial" w:hAnsi="Arial" w:cs="Arial"/>
          <w:sz w:val="22"/>
          <w:szCs w:val="22"/>
        </w:rPr>
        <w:t>.</w:t>
      </w:r>
    </w:p>
    <w:p w14:paraId="5F06DFC3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F06DFC4" w14:textId="77777777" w:rsidR="001B663A" w:rsidRPr="00865B0E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  <w:r w:rsidRPr="00865B0E">
        <w:rPr>
          <w:rFonts w:ascii="Arial" w:hAnsi="Arial" w:cs="Arial"/>
          <w:b/>
          <w:sz w:val="22"/>
          <w:szCs w:val="22"/>
        </w:rPr>
        <w:t>Colateral adicional</w:t>
      </w:r>
    </w:p>
    <w:p w14:paraId="5F06DFC5" w14:textId="77777777" w:rsidR="001B663A" w:rsidRPr="00B35B11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FD7EE3">
        <w:rPr>
          <w:rFonts w:ascii="Arial" w:hAnsi="Arial" w:cs="Arial"/>
          <w:sz w:val="22"/>
          <w:szCs w:val="22"/>
        </w:rPr>
        <w:t>El BCRP</w:t>
      </w:r>
      <w:r>
        <w:rPr>
          <w:rFonts w:ascii="Arial" w:hAnsi="Arial" w:cs="Arial"/>
          <w:sz w:val="22"/>
          <w:szCs w:val="22"/>
        </w:rPr>
        <w:t>, a su sola discreción,</w:t>
      </w:r>
      <w:r w:rsidRPr="00FD7EE3">
        <w:rPr>
          <w:rFonts w:ascii="Arial" w:hAnsi="Arial" w:cs="Arial"/>
          <w:sz w:val="22"/>
          <w:szCs w:val="22"/>
        </w:rPr>
        <w:t xml:space="preserve"> podrá e</w:t>
      </w:r>
      <w:r>
        <w:rPr>
          <w:rFonts w:ascii="Arial" w:hAnsi="Arial" w:cs="Arial"/>
          <w:sz w:val="22"/>
          <w:szCs w:val="22"/>
        </w:rPr>
        <w:t>xigir montos adicionales de la M</w:t>
      </w:r>
      <w:r w:rsidRPr="00FD7EE3">
        <w:rPr>
          <w:rFonts w:ascii="Arial" w:hAnsi="Arial" w:cs="Arial"/>
          <w:sz w:val="22"/>
          <w:szCs w:val="22"/>
        </w:rPr>
        <w:t xml:space="preserve">oneda </w:t>
      </w:r>
      <w:r>
        <w:rPr>
          <w:rFonts w:ascii="Arial" w:hAnsi="Arial" w:cs="Arial"/>
          <w:sz w:val="22"/>
          <w:szCs w:val="22"/>
        </w:rPr>
        <w:t>Objeto de la Operación</w:t>
      </w:r>
      <w:r w:rsidRPr="00FD7EE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26DA">
        <w:rPr>
          <w:rFonts w:ascii="Arial" w:hAnsi="Arial" w:cs="Arial"/>
          <w:i/>
          <w:sz w:val="22"/>
          <w:szCs w:val="22"/>
        </w:rPr>
        <w:t>margin</w:t>
      </w:r>
      <w:proofErr w:type="spellEnd"/>
      <w:r w:rsidRPr="004F26D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F26DA">
        <w:rPr>
          <w:rFonts w:ascii="Arial" w:hAnsi="Arial" w:cs="Arial"/>
          <w:i/>
          <w:sz w:val="22"/>
          <w:szCs w:val="22"/>
        </w:rPr>
        <w:t>call</w:t>
      </w:r>
      <w:proofErr w:type="spellEnd"/>
      <w:r w:rsidRPr="00FD7EE3">
        <w:rPr>
          <w:rFonts w:ascii="Arial" w:hAnsi="Arial" w:cs="Arial"/>
          <w:sz w:val="22"/>
          <w:szCs w:val="22"/>
        </w:rPr>
        <w:t>) para cubrir fluctuaciones en el tipo de cambio durante la vigencia de la Operación.</w:t>
      </w:r>
      <w:r>
        <w:rPr>
          <w:rFonts w:ascii="Arial" w:hAnsi="Arial" w:cs="Arial"/>
          <w:sz w:val="22"/>
          <w:szCs w:val="22"/>
        </w:rPr>
        <w:t xml:space="preserve"> El requerimiento del </w:t>
      </w:r>
      <w:proofErr w:type="spellStart"/>
      <w:r w:rsidRPr="00195587">
        <w:rPr>
          <w:rFonts w:ascii="Arial" w:hAnsi="Arial" w:cs="Arial"/>
          <w:i/>
          <w:sz w:val="22"/>
          <w:szCs w:val="22"/>
        </w:rPr>
        <w:t>margin</w:t>
      </w:r>
      <w:proofErr w:type="spellEnd"/>
      <w:r w:rsidRPr="0019558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95587">
        <w:rPr>
          <w:rFonts w:ascii="Arial" w:hAnsi="Arial" w:cs="Arial"/>
          <w:i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 establecerá el plazo para su cumplimiento y será formulado con arreglo a la Cláusula Vigésima Quinta del Contrato Marco. El incumplimiento del requerimiento de </w:t>
      </w:r>
      <w:proofErr w:type="spellStart"/>
      <w:r w:rsidRPr="00195587">
        <w:rPr>
          <w:rFonts w:ascii="Arial" w:hAnsi="Arial" w:cs="Arial"/>
          <w:i/>
          <w:sz w:val="22"/>
          <w:szCs w:val="22"/>
        </w:rPr>
        <w:t>margin</w:t>
      </w:r>
      <w:proofErr w:type="spellEnd"/>
      <w:r w:rsidRPr="0019558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95587">
        <w:rPr>
          <w:rFonts w:ascii="Arial" w:hAnsi="Arial" w:cs="Arial"/>
          <w:i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, dentro del plazo establecido, constituye un Evento de Vencimiento Anticipado de la Operación, sujeto a los términos previstos en la Cláusula Décima Segunda del Contrato Marco. </w:t>
      </w:r>
    </w:p>
    <w:p w14:paraId="5F06DFC6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F06DFC7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F06DFC8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F06DFC9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F06DFE1" w14:textId="77777777" w:rsidR="001B663A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rPr>
          <w:rFonts w:ascii="Arial" w:hAnsi="Arial" w:cs="Arial"/>
          <w:color w:val="FF0000"/>
          <w:sz w:val="22"/>
          <w:szCs w:val="22"/>
        </w:rPr>
      </w:pPr>
    </w:p>
    <w:p w14:paraId="5F06DFE2" w14:textId="77777777" w:rsidR="001B663A" w:rsidRDefault="001B663A" w:rsidP="001B663A">
      <w:pPr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br w:type="page"/>
      </w:r>
    </w:p>
    <w:p w14:paraId="5F06DFE3" w14:textId="77777777" w:rsidR="001B663A" w:rsidRDefault="001B663A" w:rsidP="001B663A">
      <w:pPr>
        <w:tabs>
          <w:tab w:val="left" w:pos="2880"/>
        </w:tabs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lastRenderedPageBreak/>
        <w:t>ANEXO</w:t>
      </w:r>
    </w:p>
    <w:p w14:paraId="5F06DFE4" w14:textId="77777777" w:rsidR="001B663A" w:rsidRDefault="001B663A" w:rsidP="001B663A">
      <w:pPr>
        <w:tabs>
          <w:tab w:val="left" w:pos="2880"/>
        </w:tabs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Detalle de propuestas asignadas</w:t>
      </w:r>
    </w:p>
    <w:p w14:paraId="5F06DFE5" w14:textId="77777777" w:rsidR="001B663A" w:rsidRDefault="001B663A" w:rsidP="001B663A">
      <w:pPr>
        <w:tabs>
          <w:tab w:val="left" w:pos="2880"/>
        </w:tabs>
        <w:jc w:val="both"/>
        <w:rPr>
          <w:rFonts w:ascii="Arial" w:hAnsi="Arial" w:cs="Arial"/>
          <w:spacing w:val="-3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3821"/>
        <w:gridCol w:w="1141"/>
      </w:tblGrid>
      <w:tr w:rsidR="001B663A" w14:paraId="5F06DFE9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DFE6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Número de Propuesta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DFE7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Monto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DFE8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Tasa</w:t>
            </w:r>
          </w:p>
        </w:tc>
      </w:tr>
      <w:tr w:rsidR="001B663A" w14:paraId="5F06DFED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DFEA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DFEB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color w:val="7F7F7F" w:themeColor="text1" w:themeTint="80"/>
                <w:spacing w:val="-3"/>
              </w:rPr>
              <w:t>Montos e</w:t>
            </w:r>
            <w:r w:rsidRPr="00F05051">
              <w:rPr>
                <w:rFonts w:ascii="Arial" w:hAnsi="Arial" w:cs="Arial"/>
                <w:color w:val="7F7F7F" w:themeColor="text1" w:themeTint="80"/>
                <w:spacing w:val="-3"/>
              </w:rPr>
              <w:t>n unidades con dos decimales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DFEC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1B663A" w14:paraId="5F06DFF1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DFEE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DFEF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DFF0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1B663A" w14:paraId="5F06DFF5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DFF2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DFF3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DFF4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1B663A" w14:paraId="5F06DFF9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DFF6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DFF7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DFF8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1B663A" w14:paraId="5F06DFFD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DFFA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DFFB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DFFC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1B663A" w14:paraId="5F06E001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DFFE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DFFF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E000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1B663A" w14:paraId="5F06E005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E002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E003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E004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1B663A" w14:paraId="5F06E009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E006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E007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E008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1B663A" w14:paraId="5F06E00D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E00A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9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E00B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E00C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1B663A" w14:paraId="5F06E011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E00E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E00F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spacing w:val="-3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E010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1B663A" w14:paraId="5F06E015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E012" w14:textId="77777777" w:rsidR="001B663A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E013" w14:textId="77777777" w:rsidR="001B663A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color w:val="7F7F7F" w:themeColor="text1" w:themeTint="80"/>
                <w:spacing w:val="-3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E014" w14:textId="77777777" w:rsidR="001B663A" w:rsidRPr="00F05051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1B663A" w14:paraId="5F06E019" w14:textId="77777777" w:rsidTr="000627AE">
        <w:trPr>
          <w:jc w:val="center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E016" w14:textId="77777777" w:rsidR="001B663A" w:rsidRPr="00F05051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Monto Inicial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E017" w14:textId="77777777" w:rsidR="001B663A" w:rsidRPr="00F05051" w:rsidRDefault="001B663A" w:rsidP="000627AE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color w:val="7F7F7F" w:themeColor="text1" w:themeTint="80"/>
                <w:spacing w:val="-3"/>
              </w:rPr>
              <w:t>Suma de las propuestas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E018" w14:textId="77777777" w:rsidR="001B663A" w:rsidRPr="00F05051" w:rsidRDefault="001B663A" w:rsidP="000627AE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5F06E01A" w14:textId="77777777" w:rsidR="001B663A" w:rsidRDefault="001B663A" w:rsidP="001B663A">
      <w:pPr>
        <w:tabs>
          <w:tab w:val="left" w:pos="2880"/>
        </w:tabs>
        <w:jc w:val="both"/>
        <w:rPr>
          <w:rFonts w:ascii="Arial" w:hAnsi="Arial" w:cs="Arial"/>
          <w:spacing w:val="-3"/>
        </w:rPr>
      </w:pPr>
    </w:p>
    <w:p w14:paraId="5F06E01B" w14:textId="77777777" w:rsidR="001B663A" w:rsidRPr="000C722C" w:rsidRDefault="001B663A" w:rsidP="001B663A">
      <w:pPr>
        <w:tabs>
          <w:tab w:val="left" w:pos="2880"/>
        </w:tabs>
        <w:jc w:val="center"/>
        <w:rPr>
          <w:rFonts w:ascii="Arial" w:hAnsi="Arial" w:cs="Arial"/>
          <w:spacing w:val="-3"/>
        </w:rPr>
      </w:pPr>
    </w:p>
    <w:p w14:paraId="5F06E01C" w14:textId="77777777" w:rsidR="001B663A" w:rsidRPr="000C722C" w:rsidRDefault="001B663A" w:rsidP="001B663A">
      <w:pPr>
        <w:tabs>
          <w:tab w:val="left" w:pos="2880"/>
        </w:tabs>
        <w:jc w:val="center"/>
        <w:rPr>
          <w:rFonts w:ascii="Arial" w:hAnsi="Arial" w:cs="Arial"/>
          <w:spacing w:val="-3"/>
        </w:rPr>
      </w:pPr>
    </w:p>
    <w:p w14:paraId="5F06E01D" w14:textId="77777777" w:rsidR="001B663A" w:rsidRPr="00B35B11" w:rsidRDefault="001B663A" w:rsidP="001B663A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rPr>
          <w:rFonts w:ascii="Arial" w:hAnsi="Arial" w:cs="Arial"/>
          <w:color w:val="FF0000"/>
          <w:sz w:val="22"/>
          <w:szCs w:val="22"/>
        </w:rPr>
      </w:pPr>
    </w:p>
    <w:p w14:paraId="5F06E01E" w14:textId="77777777" w:rsidR="00B04E2E" w:rsidRPr="001B663A" w:rsidRDefault="00B04E2E" w:rsidP="001B663A"/>
    <w:sectPr w:rsidR="00B04E2E" w:rsidRPr="001B663A" w:rsidSect="00B936AF">
      <w:footerReference w:type="default" r:id="rId8"/>
      <w:footerReference w:type="first" r:id="rId9"/>
      <w:pgSz w:w="11905" w:h="16837"/>
      <w:pgMar w:top="993" w:right="1156" w:bottom="426" w:left="1440" w:header="567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6E021" w14:textId="77777777" w:rsidR="005E1B4D" w:rsidRDefault="005E1B4D">
      <w:r>
        <w:separator/>
      </w:r>
    </w:p>
  </w:endnote>
  <w:endnote w:type="continuationSeparator" w:id="0">
    <w:p w14:paraId="5F06E022" w14:textId="77777777" w:rsidR="005E1B4D" w:rsidRDefault="005E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670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06E023" w14:textId="77777777" w:rsidR="0032767A" w:rsidRDefault="0032767A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D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D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06E024" w14:textId="77777777" w:rsidR="0032767A" w:rsidRDefault="003276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6E025" w14:textId="77777777" w:rsidR="00A316BF" w:rsidRPr="008154F0" w:rsidRDefault="00A316BF">
    <w:pPr>
      <w:pStyle w:val="Piedepgina"/>
      <w:jc w:val="right"/>
    </w:pPr>
    <w:r w:rsidRPr="008154F0">
      <w:t xml:space="preserve">Página </w:t>
    </w:r>
    <w:r w:rsidR="00243633">
      <w:fldChar w:fldCharType="begin"/>
    </w:r>
    <w:r w:rsidR="00243633">
      <w:instrText>PAGE</w:instrText>
    </w:r>
    <w:r w:rsidR="00243633">
      <w:fldChar w:fldCharType="separate"/>
    </w:r>
    <w:r w:rsidR="00F52D48">
      <w:rPr>
        <w:noProof/>
      </w:rPr>
      <w:t>1</w:t>
    </w:r>
    <w:r w:rsidR="00243633">
      <w:rPr>
        <w:noProof/>
      </w:rPr>
      <w:fldChar w:fldCharType="end"/>
    </w:r>
    <w:r w:rsidRPr="008154F0">
      <w:t xml:space="preserve"> de </w:t>
    </w:r>
    <w:r w:rsidR="00243633">
      <w:fldChar w:fldCharType="begin"/>
    </w:r>
    <w:r w:rsidR="00243633">
      <w:instrText>NUMPAGES</w:instrText>
    </w:r>
    <w:r w:rsidR="00243633">
      <w:fldChar w:fldCharType="separate"/>
    </w:r>
    <w:r w:rsidR="00F52D48">
      <w:rPr>
        <w:noProof/>
      </w:rPr>
      <w:t>3</w:t>
    </w:r>
    <w:r w:rsidR="00243633">
      <w:rPr>
        <w:noProof/>
      </w:rPr>
      <w:fldChar w:fldCharType="end"/>
    </w:r>
  </w:p>
  <w:p w14:paraId="5F06E026" w14:textId="77777777" w:rsidR="00A316BF" w:rsidRDefault="00A316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6E01F" w14:textId="77777777" w:rsidR="005E1B4D" w:rsidRDefault="005E1B4D">
      <w:r>
        <w:separator/>
      </w:r>
    </w:p>
  </w:footnote>
  <w:footnote w:type="continuationSeparator" w:id="0">
    <w:p w14:paraId="5F06E020" w14:textId="77777777" w:rsidR="005E1B4D" w:rsidRDefault="005E1B4D">
      <w:r>
        <w:continuationSeparator/>
      </w:r>
    </w:p>
  </w:footnote>
  <w:footnote w:id="1">
    <w:p w14:paraId="5F06E027" w14:textId="77777777" w:rsidR="001B663A" w:rsidRPr="002C1568" w:rsidRDefault="001B663A" w:rsidP="001B663A">
      <w:pPr>
        <w:pStyle w:val="Textonotapie"/>
        <w:rPr>
          <w:rFonts w:ascii="Arial" w:hAnsi="Arial" w:cs="Arial"/>
          <w:lang w:val="es-PE"/>
        </w:rPr>
      </w:pPr>
      <w:r w:rsidRPr="002C1568">
        <w:rPr>
          <w:rStyle w:val="Refdenotaalpie"/>
          <w:rFonts w:ascii="Arial" w:hAnsi="Arial" w:cs="Arial"/>
        </w:rPr>
        <w:footnoteRef/>
      </w:r>
      <w:r w:rsidRPr="002C1568">
        <w:rPr>
          <w:rFonts w:ascii="Arial" w:hAnsi="Arial" w:cs="Arial"/>
        </w:rPr>
        <w:t xml:space="preserve"> </w:t>
      </w:r>
      <w:r w:rsidRPr="002C1568">
        <w:rPr>
          <w:rFonts w:ascii="Arial" w:hAnsi="Arial" w:cs="Arial"/>
          <w:sz w:val="18"/>
          <w:lang w:val="es-PE"/>
        </w:rPr>
        <w:t>Es la moneda transferida temporalmente en propiedad por parte de la EP a cambio del Monto Inicial.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81FF9"/>
    <w:multiLevelType w:val="hybridMultilevel"/>
    <w:tmpl w:val="FDBCB07C"/>
    <w:lvl w:ilvl="0" w:tplc="622E07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BB"/>
    <w:rsid w:val="00022B1C"/>
    <w:rsid w:val="00033856"/>
    <w:rsid w:val="00033D7A"/>
    <w:rsid w:val="00034592"/>
    <w:rsid w:val="00045CDC"/>
    <w:rsid w:val="000517EA"/>
    <w:rsid w:val="000740DE"/>
    <w:rsid w:val="000B23E1"/>
    <w:rsid w:val="000D2BD6"/>
    <w:rsid w:val="000D3713"/>
    <w:rsid w:val="000E76AC"/>
    <w:rsid w:val="000F478C"/>
    <w:rsid w:val="000F7E04"/>
    <w:rsid w:val="00110A08"/>
    <w:rsid w:val="001449FE"/>
    <w:rsid w:val="00163D30"/>
    <w:rsid w:val="00170101"/>
    <w:rsid w:val="00186F40"/>
    <w:rsid w:val="001B663A"/>
    <w:rsid w:val="001C4D93"/>
    <w:rsid w:val="002144B4"/>
    <w:rsid w:val="00227277"/>
    <w:rsid w:val="00243633"/>
    <w:rsid w:val="002437F1"/>
    <w:rsid w:val="00250973"/>
    <w:rsid w:val="002636FB"/>
    <w:rsid w:val="002740E0"/>
    <w:rsid w:val="00274A3A"/>
    <w:rsid w:val="00290A9E"/>
    <w:rsid w:val="00294FBC"/>
    <w:rsid w:val="002A29FC"/>
    <w:rsid w:val="002B74CF"/>
    <w:rsid w:val="002C1568"/>
    <w:rsid w:val="003025CC"/>
    <w:rsid w:val="00321BA6"/>
    <w:rsid w:val="0032767A"/>
    <w:rsid w:val="00340105"/>
    <w:rsid w:val="003453E6"/>
    <w:rsid w:val="00352CDE"/>
    <w:rsid w:val="00370A6C"/>
    <w:rsid w:val="00396D86"/>
    <w:rsid w:val="003E0D39"/>
    <w:rsid w:val="003F7BF5"/>
    <w:rsid w:val="00440AE5"/>
    <w:rsid w:val="004701BB"/>
    <w:rsid w:val="004B04B7"/>
    <w:rsid w:val="004C36E8"/>
    <w:rsid w:val="004D6885"/>
    <w:rsid w:val="004E225E"/>
    <w:rsid w:val="004E5667"/>
    <w:rsid w:val="004F26DA"/>
    <w:rsid w:val="005168D7"/>
    <w:rsid w:val="005546F4"/>
    <w:rsid w:val="005A5465"/>
    <w:rsid w:val="005A7BF5"/>
    <w:rsid w:val="005D0D17"/>
    <w:rsid w:val="005D5F55"/>
    <w:rsid w:val="005E1B4D"/>
    <w:rsid w:val="005F12D1"/>
    <w:rsid w:val="00601DF7"/>
    <w:rsid w:val="00606A35"/>
    <w:rsid w:val="00674070"/>
    <w:rsid w:val="00675F79"/>
    <w:rsid w:val="00677FE6"/>
    <w:rsid w:val="006A2402"/>
    <w:rsid w:val="006A3A23"/>
    <w:rsid w:val="006A5A84"/>
    <w:rsid w:val="006B1ED3"/>
    <w:rsid w:val="006E7DCE"/>
    <w:rsid w:val="00715DF8"/>
    <w:rsid w:val="00734EFA"/>
    <w:rsid w:val="00747792"/>
    <w:rsid w:val="007C4980"/>
    <w:rsid w:val="008154F0"/>
    <w:rsid w:val="008236CF"/>
    <w:rsid w:val="008657F1"/>
    <w:rsid w:val="00865B0E"/>
    <w:rsid w:val="00883078"/>
    <w:rsid w:val="008839A9"/>
    <w:rsid w:val="008D612D"/>
    <w:rsid w:val="008F34A2"/>
    <w:rsid w:val="009177E0"/>
    <w:rsid w:val="0095687C"/>
    <w:rsid w:val="00980C7C"/>
    <w:rsid w:val="00984151"/>
    <w:rsid w:val="009B6CBF"/>
    <w:rsid w:val="009C6DC2"/>
    <w:rsid w:val="009E35F0"/>
    <w:rsid w:val="009F1F39"/>
    <w:rsid w:val="009F55E7"/>
    <w:rsid w:val="00A13E75"/>
    <w:rsid w:val="00A174A0"/>
    <w:rsid w:val="00A25A56"/>
    <w:rsid w:val="00A30798"/>
    <w:rsid w:val="00A316BF"/>
    <w:rsid w:val="00A52B47"/>
    <w:rsid w:val="00A52F34"/>
    <w:rsid w:val="00A84627"/>
    <w:rsid w:val="00AC1EA9"/>
    <w:rsid w:val="00AC4702"/>
    <w:rsid w:val="00AF3C79"/>
    <w:rsid w:val="00B04E2E"/>
    <w:rsid w:val="00B21BEF"/>
    <w:rsid w:val="00B307CF"/>
    <w:rsid w:val="00B35B11"/>
    <w:rsid w:val="00B37114"/>
    <w:rsid w:val="00B50968"/>
    <w:rsid w:val="00B82016"/>
    <w:rsid w:val="00B936AF"/>
    <w:rsid w:val="00BC38B8"/>
    <w:rsid w:val="00C16435"/>
    <w:rsid w:val="00C406DE"/>
    <w:rsid w:val="00C43D73"/>
    <w:rsid w:val="00C67CB8"/>
    <w:rsid w:val="00C741BA"/>
    <w:rsid w:val="00CB2332"/>
    <w:rsid w:val="00CC1FF0"/>
    <w:rsid w:val="00CC5059"/>
    <w:rsid w:val="00CD00E3"/>
    <w:rsid w:val="00CF283A"/>
    <w:rsid w:val="00D01BBC"/>
    <w:rsid w:val="00D178A2"/>
    <w:rsid w:val="00D2612B"/>
    <w:rsid w:val="00D50E4E"/>
    <w:rsid w:val="00D512DE"/>
    <w:rsid w:val="00D80C1F"/>
    <w:rsid w:val="00D93205"/>
    <w:rsid w:val="00D955AD"/>
    <w:rsid w:val="00DA725B"/>
    <w:rsid w:val="00E07AAF"/>
    <w:rsid w:val="00E12014"/>
    <w:rsid w:val="00E1446B"/>
    <w:rsid w:val="00E21114"/>
    <w:rsid w:val="00E33300"/>
    <w:rsid w:val="00E379FE"/>
    <w:rsid w:val="00E74178"/>
    <w:rsid w:val="00E93512"/>
    <w:rsid w:val="00EA3123"/>
    <w:rsid w:val="00ED2681"/>
    <w:rsid w:val="00EF2D24"/>
    <w:rsid w:val="00F2783A"/>
    <w:rsid w:val="00F3289B"/>
    <w:rsid w:val="00F52D48"/>
    <w:rsid w:val="00F7791F"/>
    <w:rsid w:val="00FA3534"/>
    <w:rsid w:val="00FC4B06"/>
    <w:rsid w:val="00FD07A3"/>
    <w:rsid w:val="00FD7EE3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6DF79"/>
  <w15:docId w15:val="{49219029-6849-4CE0-A59C-8B9A86A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8C"/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701B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4701B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701BB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F478C"/>
    <w:pPr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478C"/>
  </w:style>
  <w:style w:type="character" w:customStyle="1" w:styleId="TextonotapieCar">
    <w:name w:val="Texto nota pie Car"/>
    <w:link w:val="Textonotapie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0F478C"/>
    <w:rPr>
      <w:rFonts w:ascii="Times New Roman" w:hAnsi="Times New Roman" w:cs="Times New Roman"/>
      <w:vertAlign w:val="superscript"/>
    </w:rPr>
  </w:style>
  <w:style w:type="paragraph" w:styleId="Descripcin">
    <w:name w:val="caption"/>
    <w:basedOn w:val="Normal"/>
    <w:next w:val="Normal"/>
    <w:uiPriority w:val="99"/>
    <w:qFormat/>
    <w:rsid w:val="000F478C"/>
    <w:pPr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ind w:left="1820" w:hanging="1820"/>
      <w:jc w:val="both"/>
    </w:pPr>
    <w:rPr>
      <w:b/>
      <w:bCs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0F478C"/>
    <w:pPr>
      <w:tabs>
        <w:tab w:val="left" w:pos="-72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ind w:left="567" w:hanging="567"/>
      <w:jc w:val="both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F478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0F478C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478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0F478C"/>
    <w:rPr>
      <w:rFonts w:ascii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8D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68D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F7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67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CB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CB8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C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CB8"/>
    <w:rPr>
      <w:rFonts w:ascii="Times New Roman" w:hAnsi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F67AD"/>
    <w:pPr>
      <w:spacing w:before="50" w:after="100"/>
    </w:pPr>
    <w:rPr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A1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DBDD1"/>
                    <w:bottom w:val="none" w:sz="0" w:space="0" w:color="auto"/>
                    <w:right w:val="none" w:sz="0" w:space="0" w:color="auto"/>
                  </w:divBdr>
                  <w:divsChild>
                    <w:div w:id="14514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8F14-1709-46B4-B316-C703A838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SUBASTA DE COMPRA DE CERTIFICADOS BCRP CON COMPROMISO DE RECOMPRA</vt:lpstr>
      <vt:lpstr>SUBASTA DE COMPRA DE CERTIFICADOS BCRP CON COMPROMISO DE RECOMPRA</vt:lpstr>
    </vt:vector>
  </TitlesOfParts>
  <Company>Banco Central de Reserva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SUBASTA DE COMPRA DE CERTIFICADOS BCRP CON COMPROMISO DE RECOMPRA</dc:title>
  <dc:creator>d1586</dc:creator>
  <cp:lastModifiedBy>Espino Lazo, Freddy  Santiago</cp:lastModifiedBy>
  <cp:revision>4</cp:revision>
  <cp:lastPrinted>2014-07-04T18:37:00Z</cp:lastPrinted>
  <dcterms:created xsi:type="dcterms:W3CDTF">2015-01-15T23:36:00Z</dcterms:created>
  <dcterms:modified xsi:type="dcterms:W3CDTF">2020-12-30T14:35:00Z</dcterms:modified>
</cp:coreProperties>
</file>