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85" w:rsidRPr="00E37997" w:rsidRDefault="00852A85" w:rsidP="00E37997">
      <w:pPr>
        <w:pStyle w:val="Textoindependiente"/>
        <w:jc w:val="center"/>
        <w:rPr>
          <w:rFonts w:cs="Arial"/>
          <w:b/>
          <w:bCs/>
          <w:szCs w:val="22"/>
        </w:rPr>
      </w:pPr>
      <w:r w:rsidRPr="00E37997">
        <w:rPr>
          <w:rFonts w:cs="Arial"/>
          <w:b/>
          <w:bCs/>
          <w:szCs w:val="22"/>
        </w:rPr>
        <w:t>CONTRATO ESPECÍFICO</w:t>
      </w:r>
    </w:p>
    <w:p w:rsidR="002F140D" w:rsidRPr="00E37997" w:rsidRDefault="00DD7CDC" w:rsidP="00E37997">
      <w:pPr>
        <w:pStyle w:val="Textoindependiente"/>
        <w:jc w:val="center"/>
        <w:rPr>
          <w:rFonts w:cs="Arial"/>
          <w:b/>
          <w:bCs/>
          <w:szCs w:val="22"/>
        </w:rPr>
      </w:pPr>
      <w:r w:rsidRPr="00E37997">
        <w:rPr>
          <w:rFonts w:cs="Arial"/>
          <w:b/>
          <w:bCs/>
          <w:szCs w:val="22"/>
        </w:rPr>
        <w:t xml:space="preserve">OPERACIONES </w:t>
      </w:r>
      <w:r w:rsidR="002F140D" w:rsidRPr="00E37997">
        <w:rPr>
          <w:rFonts w:cs="Arial"/>
          <w:b/>
          <w:bCs/>
          <w:szCs w:val="22"/>
        </w:rPr>
        <w:t>DE</w:t>
      </w:r>
      <w:r w:rsidRPr="00E37997">
        <w:rPr>
          <w:rFonts w:cs="Arial"/>
          <w:b/>
          <w:bCs/>
          <w:szCs w:val="22"/>
        </w:rPr>
        <w:t xml:space="preserve"> REPORTE </w:t>
      </w:r>
      <w:r w:rsidR="002F140D" w:rsidRPr="00E37997">
        <w:rPr>
          <w:rFonts w:cs="Arial"/>
          <w:b/>
          <w:bCs/>
          <w:szCs w:val="22"/>
        </w:rPr>
        <w:t>DE CARTERA DE CREDITOS REPRESENTADA EN TITULOS VALORES</w:t>
      </w:r>
    </w:p>
    <w:p w:rsidR="002F140D" w:rsidRDefault="002F140D" w:rsidP="00E37997">
      <w:pPr>
        <w:pStyle w:val="Textoindependiente"/>
        <w:jc w:val="center"/>
        <w:rPr>
          <w:rFonts w:cs="Arial"/>
          <w:szCs w:val="22"/>
        </w:rPr>
      </w:pPr>
    </w:p>
    <w:p w:rsidR="00E37997" w:rsidRPr="00E37997" w:rsidRDefault="00E37997" w:rsidP="00E37997">
      <w:pPr>
        <w:pStyle w:val="Textoindependiente"/>
        <w:jc w:val="center"/>
        <w:rPr>
          <w:rFonts w:cs="Arial"/>
          <w:szCs w:val="22"/>
        </w:rPr>
      </w:pPr>
    </w:p>
    <w:p w:rsidR="00CB0214" w:rsidRPr="0059533D" w:rsidRDefault="00CB0214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997">
        <w:rPr>
          <w:rFonts w:ascii="Arial" w:hAnsi="Arial" w:cs="Arial"/>
          <w:b/>
          <w:bCs/>
          <w:sz w:val="22"/>
          <w:szCs w:val="22"/>
        </w:rPr>
        <w:t>Fecha:</w:t>
      </w:r>
      <w:r w:rsidRPr="00E37997">
        <w:rPr>
          <w:rFonts w:ascii="Arial" w:hAnsi="Arial" w:cs="Arial"/>
          <w:bCs/>
          <w:sz w:val="22"/>
          <w:szCs w:val="22"/>
        </w:rPr>
        <w:t xml:space="preserve"> </w:t>
      </w:r>
      <w:r w:rsidRPr="00E37997">
        <w:rPr>
          <w:rFonts w:ascii="Arial" w:hAnsi="Arial" w:cs="Arial"/>
          <w:bCs/>
          <w:color w:val="BFBFBF" w:themeColor="background1" w:themeShade="BF"/>
          <w:sz w:val="22"/>
          <w:szCs w:val="22"/>
        </w:rPr>
        <w:t xml:space="preserve">dd-mm-aaaa                           </w:t>
      </w:r>
      <w:r w:rsidR="0059533D">
        <w:rPr>
          <w:rFonts w:ascii="Arial" w:hAnsi="Arial" w:cs="Arial"/>
          <w:bCs/>
          <w:color w:val="BFBFBF" w:themeColor="background1" w:themeShade="BF"/>
          <w:sz w:val="22"/>
          <w:szCs w:val="22"/>
        </w:rPr>
        <w:t xml:space="preserve">           </w:t>
      </w:r>
      <w:r w:rsidR="0059533D">
        <w:rPr>
          <w:rFonts w:ascii="Arial" w:hAnsi="Arial" w:cs="Arial"/>
          <w:b/>
          <w:bCs/>
          <w:sz w:val="22"/>
          <w:szCs w:val="22"/>
        </w:rPr>
        <w:t>Número de Contrato</w:t>
      </w:r>
      <w:r w:rsidRPr="00E37997">
        <w:rPr>
          <w:rFonts w:ascii="Arial" w:hAnsi="Arial" w:cs="Arial"/>
          <w:b/>
          <w:bCs/>
          <w:sz w:val="22"/>
          <w:szCs w:val="22"/>
        </w:rPr>
        <w:t>:</w:t>
      </w:r>
      <w:r w:rsidR="0059533D">
        <w:rPr>
          <w:rFonts w:ascii="Arial" w:hAnsi="Arial" w:cs="Arial"/>
          <w:b/>
          <w:bCs/>
          <w:sz w:val="22"/>
          <w:szCs w:val="22"/>
        </w:rPr>
        <w:t xml:space="preserve"> </w:t>
      </w:r>
      <w:r w:rsidR="0059533D" w:rsidRPr="0059533D">
        <w:rPr>
          <w:rFonts w:ascii="Arial" w:hAnsi="Arial" w:cs="Arial"/>
          <w:b/>
          <w:bCs/>
          <w:color w:val="D9D9D9" w:themeColor="background1" w:themeShade="D9"/>
          <w:sz w:val="22"/>
          <w:szCs w:val="22"/>
        </w:rPr>
        <w:t>[Entidad]-[N°</w:t>
      </w:r>
      <w:r w:rsidR="0059533D">
        <w:rPr>
          <w:rFonts w:ascii="Arial" w:hAnsi="Arial" w:cs="Arial"/>
          <w:b/>
          <w:bCs/>
          <w:color w:val="D9D9D9" w:themeColor="background1" w:themeShade="D9"/>
          <w:sz w:val="22"/>
          <w:szCs w:val="22"/>
        </w:rPr>
        <w:t xml:space="preserve"> </w:t>
      </w:r>
      <w:r w:rsidR="0059533D" w:rsidRPr="0059533D">
        <w:rPr>
          <w:rFonts w:ascii="Arial" w:hAnsi="Arial" w:cs="Arial"/>
          <w:b/>
          <w:bCs/>
          <w:color w:val="D9D9D9" w:themeColor="background1" w:themeShade="D9"/>
          <w:sz w:val="22"/>
          <w:szCs w:val="22"/>
        </w:rPr>
        <w:t>Operación]</w:t>
      </w:r>
    </w:p>
    <w:p w:rsidR="00CB0214" w:rsidRPr="00E37997" w:rsidRDefault="00CB0214" w:rsidP="00E37997">
      <w:pPr>
        <w:pStyle w:val="Textoindependiente"/>
        <w:jc w:val="both"/>
        <w:rPr>
          <w:rFonts w:cs="Arial"/>
          <w:szCs w:val="22"/>
          <w:lang w:val="es-ES"/>
        </w:rPr>
      </w:pPr>
    </w:p>
    <w:p w:rsidR="002F140D" w:rsidRPr="00E37997" w:rsidRDefault="002F140D" w:rsidP="00E37997">
      <w:p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37997">
        <w:rPr>
          <w:rFonts w:ascii="Arial" w:hAnsi="Arial" w:cs="Arial"/>
          <w:sz w:val="22"/>
          <w:szCs w:val="22"/>
          <w:lang w:val="es-PE"/>
        </w:rPr>
        <w:t>E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l presente Contrato Específico de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 xml:space="preserve">Operaciones de Reporte </w:t>
      </w:r>
      <w:r w:rsidR="009F3610" w:rsidRPr="00E37997">
        <w:rPr>
          <w:rFonts w:ascii="Arial" w:hAnsi="Arial" w:cs="Arial"/>
          <w:sz w:val="22"/>
          <w:szCs w:val="22"/>
          <w:lang w:val="es-ES_tradnl"/>
        </w:rPr>
        <w:t xml:space="preserve">de Cartera de Crédito Representada en Títulos Valores 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(en adelante, el Contrato Específico) se </w:t>
      </w:r>
      <w:r w:rsidR="005A68ED">
        <w:rPr>
          <w:rFonts w:ascii="Arial" w:hAnsi="Arial" w:cs="Arial"/>
          <w:sz w:val="22"/>
          <w:szCs w:val="22"/>
          <w:lang w:val="es-ES_tradnl"/>
        </w:rPr>
        <w:t xml:space="preserve">realiza 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al amparo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y con sujeción a las disposiciones contenidas en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la Ley de Operaciones de Reporte, Ley N</w:t>
      </w:r>
      <w:r w:rsidR="00D42DE8" w:rsidRPr="00E37997">
        <w:rPr>
          <w:rFonts w:ascii="Arial" w:hAnsi="Arial" w:cs="Arial"/>
          <w:sz w:val="22"/>
          <w:szCs w:val="22"/>
          <w:lang w:val="es-ES_tradnl"/>
        </w:rPr>
        <w:t>°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 xml:space="preserve"> 30052 (La Ley), en </w:t>
      </w:r>
      <w:r w:rsidRPr="00AF59C7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82759B" w:rsidRPr="00AF59C7">
        <w:rPr>
          <w:rFonts w:ascii="Arial" w:hAnsi="Arial" w:cs="Arial"/>
          <w:sz w:val="22"/>
          <w:szCs w:val="22"/>
        </w:rPr>
        <w:t xml:space="preserve">Circular N° </w:t>
      </w:r>
      <w:r w:rsidR="0070282E" w:rsidRPr="00AF59C7">
        <w:rPr>
          <w:rFonts w:ascii="Arial" w:hAnsi="Arial" w:cs="Arial"/>
          <w:sz w:val="22"/>
          <w:szCs w:val="22"/>
        </w:rPr>
        <w:t>0033</w:t>
      </w:r>
      <w:r w:rsidR="00093F17" w:rsidRPr="00AF59C7">
        <w:rPr>
          <w:rFonts w:ascii="Arial" w:hAnsi="Arial" w:cs="Arial"/>
          <w:sz w:val="22"/>
          <w:szCs w:val="22"/>
        </w:rPr>
        <w:t>-2020</w:t>
      </w:r>
      <w:r w:rsidR="0082759B" w:rsidRPr="00AF59C7">
        <w:rPr>
          <w:rFonts w:ascii="Arial" w:hAnsi="Arial" w:cs="Arial"/>
          <w:sz w:val="22"/>
          <w:szCs w:val="22"/>
        </w:rPr>
        <w:t>-BCRP</w:t>
      </w:r>
      <w:r w:rsidR="00353D96" w:rsidRPr="00AF59C7">
        <w:rPr>
          <w:rFonts w:ascii="Arial" w:hAnsi="Arial" w:cs="Arial"/>
          <w:sz w:val="22"/>
          <w:szCs w:val="22"/>
        </w:rPr>
        <w:t xml:space="preserve"> o</w:t>
      </w:r>
      <w:r w:rsidR="00353D96" w:rsidRPr="00E37997">
        <w:rPr>
          <w:rFonts w:ascii="Arial" w:hAnsi="Arial" w:cs="Arial"/>
          <w:sz w:val="22"/>
          <w:szCs w:val="22"/>
        </w:rPr>
        <w:t xml:space="preserve"> la que la sustituya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(La Circular) y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, en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el </w:t>
      </w:r>
      <w:r w:rsidR="00BC650E" w:rsidRPr="00E37997">
        <w:rPr>
          <w:rFonts w:ascii="Arial" w:hAnsi="Arial" w:cs="Arial"/>
          <w:sz w:val="22"/>
          <w:szCs w:val="22"/>
          <w:lang w:val="es-ES_tradnl"/>
        </w:rPr>
        <w:t>Contrato Marco de Operaciones de Reporte de Cartera de Créditos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, suscrito entre el Banco Central de Reserva del Perú (EL BCRP) y </w:t>
      </w:r>
      <w:r w:rsidR="00DD7CDC" w:rsidRPr="00E37997">
        <w:rPr>
          <w:rFonts w:ascii="Arial" w:hAnsi="Arial" w:cs="Arial"/>
          <w:sz w:val="22"/>
          <w:szCs w:val="22"/>
          <w:lang w:val="es-ES_tradnl"/>
        </w:rPr>
        <w:t>(nombre de</w:t>
      </w:r>
      <w:r w:rsidR="007010E0">
        <w:rPr>
          <w:rFonts w:ascii="Arial" w:hAnsi="Arial" w:cs="Arial"/>
          <w:sz w:val="22"/>
          <w:szCs w:val="22"/>
          <w:lang w:val="es-ES_tradnl"/>
        </w:rPr>
        <w:t>l participante</w:t>
      </w:r>
      <w:r w:rsidR="0059533D">
        <w:rPr>
          <w:rFonts w:ascii="Arial" w:hAnsi="Arial" w:cs="Arial"/>
          <w:sz w:val="22"/>
          <w:szCs w:val="22"/>
          <w:lang w:val="es-ES_tradnl"/>
        </w:rPr>
        <w:t>)</w:t>
      </w:r>
      <w:r w:rsidRPr="00E37997">
        <w:rPr>
          <w:rFonts w:ascii="Arial" w:hAnsi="Arial" w:cs="Arial"/>
          <w:sz w:val="22"/>
          <w:szCs w:val="22"/>
          <w:lang w:val="es-ES_tradnl"/>
        </w:rPr>
        <w:t xml:space="preserve"> (LA </w:t>
      </w:r>
      <w:r w:rsidR="00420AC4" w:rsidRPr="00E37997">
        <w:rPr>
          <w:rFonts w:ascii="Arial" w:hAnsi="Arial" w:cs="Arial"/>
          <w:sz w:val="22"/>
          <w:szCs w:val="22"/>
          <w:lang w:val="es-ES_tradnl"/>
        </w:rPr>
        <w:t>EP</w:t>
      </w:r>
      <w:r w:rsidR="00BC650E" w:rsidRPr="00E37997">
        <w:rPr>
          <w:rFonts w:ascii="Arial" w:hAnsi="Arial" w:cs="Arial"/>
          <w:sz w:val="22"/>
          <w:szCs w:val="22"/>
          <w:lang w:val="es-ES_tradnl"/>
        </w:rPr>
        <w:t xml:space="preserve">) </w:t>
      </w:r>
      <w:r w:rsidRPr="00E37997">
        <w:rPr>
          <w:rFonts w:ascii="Arial" w:hAnsi="Arial" w:cs="Arial"/>
          <w:sz w:val="22"/>
          <w:szCs w:val="22"/>
          <w:lang w:val="es-ES_tradnl"/>
        </w:rPr>
        <w:t>(en adelante, el Contrato Marco).</w:t>
      </w:r>
    </w:p>
    <w:p w:rsidR="002F140D" w:rsidRPr="00E37997" w:rsidRDefault="002F140D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:rsidR="0027354E" w:rsidRPr="00E37997" w:rsidRDefault="002F140D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b/>
          <w:bCs/>
          <w:szCs w:val="22"/>
          <w:lang w:val="es-ES_tradnl"/>
        </w:rPr>
        <w:t>PRIMERA</w:t>
      </w:r>
      <w:r w:rsidRPr="00E37997">
        <w:rPr>
          <w:szCs w:val="22"/>
          <w:lang w:val="es-ES_tradnl"/>
        </w:rPr>
        <w:t xml:space="preserve">.- </w:t>
      </w:r>
      <w:r w:rsidR="00DD7CDC" w:rsidRPr="00E37997">
        <w:rPr>
          <w:szCs w:val="22"/>
          <w:lang w:val="es-ES_tradnl"/>
        </w:rPr>
        <w:t xml:space="preserve">En virtud de </w:t>
      </w:r>
      <w:r w:rsidRPr="00E37997">
        <w:rPr>
          <w:szCs w:val="22"/>
          <w:lang w:val="es-ES_tradnl"/>
        </w:rPr>
        <w:t>las disposiciones referid</w:t>
      </w:r>
      <w:r w:rsidR="00DD7CDC" w:rsidRPr="00E37997">
        <w:rPr>
          <w:szCs w:val="22"/>
          <w:lang w:val="es-ES_tradnl"/>
        </w:rPr>
        <w:t>a</w:t>
      </w:r>
      <w:r w:rsidRPr="00E37997">
        <w:rPr>
          <w:szCs w:val="22"/>
          <w:lang w:val="es-ES_tradnl"/>
        </w:rPr>
        <w:t xml:space="preserve">s en la introducción del presente </w:t>
      </w:r>
      <w:r w:rsidR="00B22F1D" w:rsidRPr="00E37997">
        <w:rPr>
          <w:szCs w:val="22"/>
          <w:lang w:val="es-ES_tradnl"/>
        </w:rPr>
        <w:t>C</w:t>
      </w:r>
      <w:r w:rsidRPr="00E37997">
        <w:rPr>
          <w:szCs w:val="22"/>
          <w:lang w:val="es-ES_tradnl"/>
        </w:rPr>
        <w:t>ontrato</w:t>
      </w:r>
      <w:r w:rsidR="00B22F1D" w:rsidRPr="00E37997">
        <w:rPr>
          <w:szCs w:val="22"/>
          <w:lang w:val="es-ES_tradnl"/>
        </w:rPr>
        <w:t xml:space="preserve"> Específico</w:t>
      </w:r>
      <w:r w:rsidR="00E37997">
        <w:rPr>
          <w:szCs w:val="22"/>
          <w:lang w:val="es-ES_tradnl"/>
        </w:rPr>
        <w:t>,</w:t>
      </w:r>
      <w:r w:rsidR="00C16625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 xml:space="preserve">LA </w:t>
      </w:r>
      <w:r w:rsidR="00420AC4" w:rsidRPr="00E37997">
        <w:rPr>
          <w:szCs w:val="22"/>
          <w:lang w:val="es-ES_tradnl"/>
        </w:rPr>
        <w:t xml:space="preserve">EP </w:t>
      </w:r>
      <w:r w:rsidRPr="00E37997">
        <w:rPr>
          <w:szCs w:val="22"/>
          <w:lang w:val="es-ES_tradnl"/>
        </w:rPr>
        <w:t xml:space="preserve">cede y transfiere a EL BCRP </w:t>
      </w:r>
      <w:r w:rsidR="009F3610" w:rsidRPr="00E37997">
        <w:rPr>
          <w:szCs w:val="22"/>
          <w:lang w:val="es-ES_tradnl"/>
        </w:rPr>
        <w:t>l</w:t>
      </w:r>
      <w:r w:rsidRPr="00E37997">
        <w:rPr>
          <w:szCs w:val="22"/>
          <w:lang w:val="es-ES_tradnl"/>
        </w:rPr>
        <w:t xml:space="preserve">os </w:t>
      </w:r>
      <w:r w:rsidR="00D42DE8" w:rsidRPr="00E37997">
        <w:rPr>
          <w:szCs w:val="22"/>
          <w:lang w:val="es-ES_tradnl"/>
        </w:rPr>
        <w:t>c</w:t>
      </w:r>
      <w:r w:rsidRPr="00E37997">
        <w:rPr>
          <w:szCs w:val="22"/>
          <w:lang w:val="es-ES_tradnl"/>
        </w:rPr>
        <w:t xml:space="preserve">réditos que se detallan en el </w:t>
      </w:r>
      <w:r w:rsidR="009F3610" w:rsidRPr="00E37997">
        <w:rPr>
          <w:szCs w:val="22"/>
          <w:lang w:val="es-ES_tradnl"/>
        </w:rPr>
        <w:t>Anexo</w:t>
      </w:r>
      <w:r w:rsidRPr="00E37997">
        <w:rPr>
          <w:szCs w:val="22"/>
          <w:lang w:val="es-ES_tradnl"/>
        </w:rPr>
        <w:t xml:space="preserve"> </w:t>
      </w:r>
      <w:r w:rsidR="00DD7CDC" w:rsidRPr="00E37997">
        <w:rPr>
          <w:szCs w:val="22"/>
          <w:lang w:val="es-ES_tradnl"/>
        </w:rPr>
        <w:t>del mismo</w:t>
      </w:r>
      <w:r w:rsidR="00187DAE" w:rsidRPr="00E37997">
        <w:rPr>
          <w:szCs w:val="22"/>
          <w:lang w:val="es-ES_tradnl"/>
        </w:rPr>
        <w:t xml:space="preserve">, </w:t>
      </w:r>
      <w:r w:rsidR="00F63912">
        <w:rPr>
          <w:szCs w:val="22"/>
          <w:lang w:val="es-ES_tradnl"/>
        </w:rPr>
        <w:t>conjuntamente con sus garantías,</w:t>
      </w:r>
      <w:r w:rsidR="00DD7CDC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y</w:t>
      </w:r>
      <w:r w:rsidR="00B22F1D" w:rsidRPr="00E37997">
        <w:rPr>
          <w:szCs w:val="22"/>
          <w:lang w:val="es-ES_tradnl"/>
        </w:rPr>
        <w:t>,</w:t>
      </w:r>
      <w:r w:rsidRPr="00E37997">
        <w:rPr>
          <w:szCs w:val="22"/>
          <w:lang w:val="es-ES_tradnl"/>
        </w:rPr>
        <w:t xml:space="preserve"> </w:t>
      </w:r>
      <w:r w:rsidR="00DD7CDC" w:rsidRPr="00E37997">
        <w:rPr>
          <w:szCs w:val="22"/>
          <w:lang w:val="es-ES_tradnl"/>
        </w:rPr>
        <w:t>simultáneamente</w:t>
      </w:r>
      <w:r w:rsidR="00B22F1D" w:rsidRPr="00E37997">
        <w:rPr>
          <w:szCs w:val="22"/>
          <w:lang w:val="es-ES_tradnl"/>
        </w:rPr>
        <w:t>,</w:t>
      </w:r>
      <w:r w:rsidR="00DD7CDC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asume la obligación de recomprar dichos créditos</w:t>
      </w:r>
      <w:r w:rsidR="00B21001" w:rsidRPr="00E37997">
        <w:rPr>
          <w:szCs w:val="22"/>
          <w:lang w:val="es-ES_tradnl"/>
        </w:rPr>
        <w:t xml:space="preserve">, en los términos contenidos en </w:t>
      </w:r>
      <w:r w:rsidR="00661B21" w:rsidRPr="00E37997">
        <w:rPr>
          <w:szCs w:val="22"/>
          <w:lang w:val="es-ES_tradnl"/>
        </w:rPr>
        <w:t xml:space="preserve">la Circular y </w:t>
      </w:r>
      <w:r w:rsidR="00B21001" w:rsidRPr="00E37997">
        <w:rPr>
          <w:szCs w:val="22"/>
          <w:lang w:val="es-ES_tradnl"/>
        </w:rPr>
        <w:t xml:space="preserve">el Contrato Marco antes </w:t>
      </w:r>
      <w:r w:rsidR="00C16625" w:rsidRPr="00E37997">
        <w:rPr>
          <w:szCs w:val="22"/>
          <w:lang w:val="es-ES_tradnl"/>
        </w:rPr>
        <w:t>citado</w:t>
      </w:r>
      <w:r w:rsidR="00661B21" w:rsidRPr="00E37997">
        <w:rPr>
          <w:szCs w:val="22"/>
          <w:lang w:val="es-ES_tradnl"/>
        </w:rPr>
        <w:t>s</w:t>
      </w:r>
      <w:r w:rsidR="00187DAE" w:rsidRPr="00E37997">
        <w:rPr>
          <w:szCs w:val="22"/>
          <w:lang w:val="es-ES_tradnl"/>
        </w:rPr>
        <w:t>.</w:t>
      </w:r>
    </w:p>
    <w:p w:rsidR="003E7D58" w:rsidRPr="00E37997" w:rsidRDefault="003E7D58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:rsidR="00187DAE" w:rsidRPr="00E37997" w:rsidRDefault="00187DAE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El referido Anexo se integra y forma parte del</w:t>
      </w:r>
      <w:r w:rsidR="0059533D">
        <w:rPr>
          <w:szCs w:val="22"/>
          <w:lang w:val="es-ES_tradnl"/>
        </w:rPr>
        <w:t xml:space="preserve"> presente Contrato Específico. </w:t>
      </w:r>
      <w:r w:rsidR="00661B21" w:rsidRPr="00E37997">
        <w:rPr>
          <w:szCs w:val="22"/>
          <w:lang w:val="es-ES_tradnl"/>
        </w:rPr>
        <w:t>L</w:t>
      </w:r>
      <w:r w:rsidRPr="00E37997">
        <w:rPr>
          <w:szCs w:val="22"/>
          <w:lang w:val="es-ES_tradnl"/>
        </w:rPr>
        <w:t xml:space="preserve">os </w:t>
      </w:r>
      <w:r w:rsidR="00661B21" w:rsidRPr="00E37997">
        <w:rPr>
          <w:szCs w:val="22"/>
          <w:lang w:val="es-ES_tradnl"/>
        </w:rPr>
        <w:t>A</w:t>
      </w:r>
      <w:r w:rsidRPr="00E37997">
        <w:rPr>
          <w:szCs w:val="22"/>
          <w:lang w:val="es-ES_tradnl"/>
        </w:rPr>
        <w:t xml:space="preserve">nexos </w:t>
      </w:r>
      <w:r w:rsidR="00661B21" w:rsidRPr="00E37997">
        <w:rPr>
          <w:szCs w:val="22"/>
          <w:lang w:val="es-ES_tradnl"/>
        </w:rPr>
        <w:t>semanales</w:t>
      </w:r>
      <w:r w:rsidRPr="00E37997">
        <w:rPr>
          <w:szCs w:val="22"/>
          <w:lang w:val="es-ES_tradnl"/>
        </w:rPr>
        <w:t xml:space="preserve"> que se generen </w:t>
      </w:r>
      <w:r w:rsidR="00B21001" w:rsidRPr="00E37997">
        <w:rPr>
          <w:szCs w:val="22"/>
          <w:lang w:val="es-ES_tradnl"/>
        </w:rPr>
        <w:t>como consecuencia de</w:t>
      </w:r>
      <w:r w:rsidR="00661B21" w:rsidRPr="00E37997">
        <w:rPr>
          <w:szCs w:val="22"/>
          <w:lang w:val="es-ES_tradnl"/>
        </w:rPr>
        <w:t xml:space="preserve">l envío de información actualizada de los créditos que </w:t>
      </w:r>
      <w:r w:rsidR="006F62A2">
        <w:rPr>
          <w:szCs w:val="22"/>
          <w:lang w:val="es-ES_tradnl"/>
        </w:rPr>
        <w:t xml:space="preserve">incluyen </w:t>
      </w:r>
      <w:r w:rsidR="00661B21" w:rsidRPr="00E37997">
        <w:rPr>
          <w:szCs w:val="22"/>
          <w:lang w:val="es-ES_tradnl"/>
        </w:rPr>
        <w:t>la cartera transferida</w:t>
      </w:r>
      <w:r w:rsidR="00B21001" w:rsidRPr="00E37997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también se integran y forman parte de</w:t>
      </w:r>
      <w:r w:rsidR="00B21001" w:rsidRPr="00E37997">
        <w:rPr>
          <w:szCs w:val="22"/>
          <w:lang w:val="es-ES_tradnl"/>
        </w:rPr>
        <w:t xml:space="preserve"> este</w:t>
      </w:r>
      <w:r w:rsidR="00C7593D" w:rsidRPr="00E37997">
        <w:rPr>
          <w:szCs w:val="22"/>
          <w:lang w:val="es-ES_tradnl"/>
        </w:rPr>
        <w:t xml:space="preserve"> Contrato Específico.</w:t>
      </w:r>
    </w:p>
    <w:p w:rsidR="00187DAE" w:rsidRPr="00E37997" w:rsidRDefault="00187DAE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:rsidR="002F140D" w:rsidRPr="00E37997" w:rsidRDefault="00926103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</w:rPr>
        <w:t xml:space="preserve">EL BCRP podrá requerir a LA EP información detallada </w:t>
      </w:r>
      <w:r w:rsidR="00B21001" w:rsidRPr="00E37997">
        <w:rPr>
          <w:szCs w:val="22"/>
        </w:rPr>
        <w:t xml:space="preserve">de </w:t>
      </w:r>
      <w:r w:rsidR="00C7593D" w:rsidRPr="00E37997">
        <w:rPr>
          <w:szCs w:val="22"/>
        </w:rPr>
        <w:t>las garantías</w:t>
      </w:r>
      <w:r w:rsidR="003A7376" w:rsidRPr="00E37997">
        <w:rPr>
          <w:szCs w:val="22"/>
        </w:rPr>
        <w:t xml:space="preserve"> genéricas o</w:t>
      </w:r>
      <w:r w:rsidR="00C7593D" w:rsidRPr="00E37997">
        <w:rPr>
          <w:szCs w:val="22"/>
        </w:rPr>
        <w:t xml:space="preserve"> </w:t>
      </w:r>
      <w:r w:rsidRPr="00E37997">
        <w:rPr>
          <w:szCs w:val="22"/>
        </w:rPr>
        <w:t>específicas</w:t>
      </w:r>
      <w:r w:rsidR="00C7593D" w:rsidRPr="00E37997">
        <w:rPr>
          <w:szCs w:val="22"/>
        </w:rPr>
        <w:t xml:space="preserve"> que respaldan </w:t>
      </w:r>
      <w:r w:rsidR="00E37997">
        <w:rPr>
          <w:szCs w:val="22"/>
        </w:rPr>
        <w:t xml:space="preserve">los </w:t>
      </w:r>
      <w:r w:rsidR="00C7593D" w:rsidRPr="00E37997">
        <w:rPr>
          <w:szCs w:val="22"/>
        </w:rPr>
        <w:t xml:space="preserve">créditos </w:t>
      </w:r>
      <w:r w:rsidR="00B21001" w:rsidRPr="00E37997">
        <w:rPr>
          <w:szCs w:val="22"/>
        </w:rPr>
        <w:t xml:space="preserve">materia </w:t>
      </w:r>
      <w:r w:rsidR="00C7593D" w:rsidRPr="00E37997">
        <w:rPr>
          <w:szCs w:val="22"/>
        </w:rPr>
        <w:t>del presente Contrato Específico</w:t>
      </w:r>
      <w:r w:rsidRPr="00E37997">
        <w:rPr>
          <w:szCs w:val="22"/>
        </w:rPr>
        <w:t>. Dicha información</w:t>
      </w:r>
      <w:r w:rsidR="00E37997">
        <w:rPr>
          <w:szCs w:val="22"/>
        </w:rPr>
        <w:t>,</w:t>
      </w:r>
      <w:r w:rsidR="00C7593D" w:rsidRPr="00E37997">
        <w:rPr>
          <w:szCs w:val="22"/>
        </w:rPr>
        <w:t xml:space="preserve"> </w:t>
      </w:r>
      <w:r w:rsidRPr="00E37997">
        <w:rPr>
          <w:szCs w:val="22"/>
        </w:rPr>
        <w:t>que deberá ser proporcionada en la forma y dentro del plazo requerido</w:t>
      </w:r>
      <w:r w:rsidR="00E37997">
        <w:rPr>
          <w:szCs w:val="22"/>
        </w:rPr>
        <w:t>,</w:t>
      </w:r>
      <w:r w:rsidRPr="00E37997">
        <w:rPr>
          <w:szCs w:val="22"/>
        </w:rPr>
        <w:t xml:space="preserve"> se </w:t>
      </w:r>
      <w:r w:rsidR="00C7593D" w:rsidRPr="00E37997">
        <w:rPr>
          <w:szCs w:val="22"/>
        </w:rPr>
        <w:t>integra</w:t>
      </w:r>
      <w:r w:rsidRPr="00E37997">
        <w:rPr>
          <w:szCs w:val="22"/>
        </w:rPr>
        <w:t>rá al presente</w:t>
      </w:r>
      <w:r w:rsidR="00C7593D" w:rsidRPr="00E37997">
        <w:rPr>
          <w:szCs w:val="22"/>
        </w:rPr>
        <w:t xml:space="preserve"> </w:t>
      </w:r>
      <w:r w:rsidRPr="00E37997">
        <w:rPr>
          <w:szCs w:val="22"/>
        </w:rPr>
        <w:t xml:space="preserve">contrato </w:t>
      </w:r>
      <w:r w:rsidR="00C7593D" w:rsidRPr="00E37997">
        <w:rPr>
          <w:szCs w:val="22"/>
        </w:rPr>
        <w:t>y forma</w:t>
      </w:r>
      <w:r w:rsidRPr="00E37997">
        <w:rPr>
          <w:szCs w:val="22"/>
        </w:rPr>
        <w:t>rá</w:t>
      </w:r>
      <w:r w:rsidR="00C7593D" w:rsidRPr="00E37997">
        <w:rPr>
          <w:szCs w:val="22"/>
        </w:rPr>
        <w:t xml:space="preserve"> parte del mismo.</w:t>
      </w:r>
    </w:p>
    <w:p w:rsidR="004D63BA" w:rsidRPr="00E37997" w:rsidRDefault="004D63BA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:rsidR="004D63BA" w:rsidRPr="00E37997" w:rsidRDefault="00D55881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El</w:t>
      </w:r>
      <w:r w:rsidR="004D63BA" w:rsidRPr="00E37997">
        <w:rPr>
          <w:szCs w:val="22"/>
          <w:lang w:val="es-ES_tradnl"/>
        </w:rPr>
        <w:t xml:space="preserve"> Anexo</w:t>
      </w:r>
      <w:r w:rsidRPr="00E37997">
        <w:rPr>
          <w:szCs w:val="22"/>
          <w:lang w:val="es-ES_tradnl"/>
        </w:rPr>
        <w:t>, cuyo formato Excel es</w:t>
      </w:r>
      <w:r w:rsidR="004D63BA" w:rsidRPr="00E37997">
        <w:rPr>
          <w:szCs w:val="22"/>
          <w:lang w:val="es-ES_tradnl"/>
        </w:rPr>
        <w:t xml:space="preserve"> publicado en el Portal </w:t>
      </w:r>
      <w:r w:rsidR="00A71978" w:rsidRPr="00E37997">
        <w:rPr>
          <w:szCs w:val="22"/>
          <w:lang w:val="es-ES_tradnl"/>
        </w:rPr>
        <w:t>W</w:t>
      </w:r>
      <w:r w:rsidR="004D63BA" w:rsidRPr="00E37997">
        <w:rPr>
          <w:szCs w:val="22"/>
          <w:lang w:val="es-ES_tradnl"/>
        </w:rPr>
        <w:t>eb de</w:t>
      </w:r>
      <w:r w:rsidRPr="00E37997">
        <w:rPr>
          <w:szCs w:val="22"/>
          <w:lang w:val="es-ES_tradnl"/>
        </w:rPr>
        <w:t xml:space="preserve"> EL BCRP,</w:t>
      </w:r>
      <w:r w:rsidR="004D63BA" w:rsidRPr="00E37997">
        <w:rPr>
          <w:szCs w:val="22"/>
          <w:lang w:val="es-ES_tradnl"/>
        </w:rPr>
        <w:t xml:space="preserve"> debe ser enviado por LA EP </w:t>
      </w:r>
      <w:r w:rsidRPr="00E37997">
        <w:rPr>
          <w:szCs w:val="22"/>
          <w:lang w:val="es-ES_tradnl"/>
        </w:rPr>
        <w:t xml:space="preserve">mediante </w:t>
      </w:r>
      <w:r w:rsidR="004D63BA" w:rsidRPr="00E37997">
        <w:rPr>
          <w:szCs w:val="22"/>
          <w:lang w:val="es-ES_tradnl"/>
        </w:rPr>
        <w:t xml:space="preserve">correo electrónico al Departamento de Liquidación y Control de Operaciones Internas, </w:t>
      </w:r>
      <w:r w:rsidR="004D63BA" w:rsidRPr="003F7878">
        <w:rPr>
          <w:rStyle w:val="Hipervnculo"/>
        </w:rPr>
        <w:t>Dpto.RegistroLiqConOpeInt@bcrp.gob.pe</w:t>
      </w:r>
      <w:r w:rsidR="004D63BA" w:rsidRPr="00E37997">
        <w:rPr>
          <w:szCs w:val="22"/>
          <w:lang w:val="es-ES_tradnl"/>
        </w:rPr>
        <w:t xml:space="preserve">, o a través del SIB-FTP en los canales que se indique. Los archivos Excel que se envíen a </w:t>
      </w:r>
      <w:r w:rsidR="00E37997">
        <w:rPr>
          <w:szCs w:val="22"/>
          <w:lang w:val="es-ES_tradnl"/>
        </w:rPr>
        <w:t>EL BCRP</w:t>
      </w:r>
      <w:r w:rsidR="004D63BA" w:rsidRPr="00E37997">
        <w:rPr>
          <w:szCs w:val="22"/>
          <w:lang w:val="es-ES_tradnl"/>
        </w:rPr>
        <w:t xml:space="preserve"> deberán tener la siguiente estructura:</w:t>
      </w:r>
    </w:p>
    <w:p w:rsidR="004D63BA" w:rsidRPr="00E37997" w:rsidRDefault="004D63BA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</w:p>
    <w:p w:rsidR="009D71E0" w:rsidRPr="00E37997" w:rsidRDefault="003E1D5A" w:rsidP="00E37997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REP-</w:t>
      </w:r>
      <w:r w:rsidR="009D71E0" w:rsidRPr="00E37997">
        <w:rPr>
          <w:szCs w:val="22"/>
          <w:lang w:val="es-ES_tradnl"/>
        </w:rPr>
        <w:t>CAR-[Código d</w:t>
      </w:r>
      <w:r w:rsidR="00715F39" w:rsidRPr="00E37997">
        <w:rPr>
          <w:szCs w:val="22"/>
          <w:lang w:val="es-ES_tradnl"/>
        </w:rPr>
        <w:t>e la EP]-[N° de Operación]</w:t>
      </w:r>
      <w:r w:rsidR="003C7853">
        <w:rPr>
          <w:szCs w:val="22"/>
          <w:lang w:val="es-ES_tradnl"/>
        </w:rPr>
        <w:t>-[Secuencia]</w:t>
      </w:r>
      <w:r w:rsidR="00715F39" w:rsidRPr="00E37997">
        <w:rPr>
          <w:szCs w:val="22"/>
          <w:lang w:val="es-ES_tradnl"/>
        </w:rPr>
        <w:t>.xlsx</w:t>
      </w:r>
    </w:p>
    <w:p w:rsidR="009D71E0" w:rsidRPr="00E37997" w:rsidRDefault="003E1D5A" w:rsidP="00E37997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>REP-</w:t>
      </w:r>
      <w:r w:rsidR="009D71E0" w:rsidRPr="00E37997">
        <w:rPr>
          <w:szCs w:val="22"/>
          <w:lang w:val="es-ES_tradnl"/>
        </w:rPr>
        <w:t>CAR-</w:t>
      </w:r>
      <w:r w:rsidR="003C7853">
        <w:rPr>
          <w:szCs w:val="22"/>
          <w:lang w:val="es-ES_tradnl"/>
        </w:rPr>
        <w:t>[</w:t>
      </w:r>
      <w:r w:rsidR="009D71E0" w:rsidRPr="00E37997">
        <w:rPr>
          <w:szCs w:val="22"/>
          <w:lang w:val="es-ES_tradnl"/>
        </w:rPr>
        <w:t>000#</w:t>
      </w:r>
      <w:r w:rsidR="003C7853">
        <w:rPr>
          <w:szCs w:val="22"/>
          <w:lang w:val="es-ES_tradnl"/>
        </w:rPr>
        <w:t>]</w:t>
      </w:r>
      <w:r w:rsidR="009D71E0" w:rsidRPr="00E37997">
        <w:rPr>
          <w:szCs w:val="22"/>
          <w:lang w:val="es-ES_tradnl"/>
        </w:rPr>
        <w:t>-</w:t>
      </w:r>
      <w:r w:rsidR="003C7853">
        <w:rPr>
          <w:szCs w:val="22"/>
          <w:lang w:val="es-ES_tradnl"/>
        </w:rPr>
        <w:t>[</w:t>
      </w:r>
      <w:r w:rsidR="009D71E0" w:rsidRPr="00E37997">
        <w:rPr>
          <w:szCs w:val="22"/>
          <w:lang w:val="es-ES_tradnl"/>
        </w:rPr>
        <w:t>000#</w:t>
      </w:r>
      <w:r w:rsidR="003C7853">
        <w:rPr>
          <w:szCs w:val="22"/>
          <w:lang w:val="es-ES_tradnl"/>
        </w:rPr>
        <w:t>]</w:t>
      </w:r>
      <w:r w:rsidR="009D71E0" w:rsidRPr="00E37997">
        <w:rPr>
          <w:szCs w:val="22"/>
          <w:lang w:val="es-ES_tradnl"/>
        </w:rPr>
        <w:t>-</w:t>
      </w:r>
      <w:r w:rsidR="003C7853">
        <w:rPr>
          <w:szCs w:val="22"/>
          <w:lang w:val="es-ES_tradnl"/>
        </w:rPr>
        <w:t>[</w:t>
      </w:r>
      <w:r w:rsidR="003C7853" w:rsidRPr="00E37997">
        <w:rPr>
          <w:szCs w:val="22"/>
          <w:lang w:val="es-ES_tradnl"/>
        </w:rPr>
        <w:t>000#</w:t>
      </w:r>
      <w:r w:rsidR="003C7853">
        <w:rPr>
          <w:szCs w:val="22"/>
          <w:lang w:val="es-ES_tradnl"/>
        </w:rPr>
        <w:t>]</w:t>
      </w:r>
      <w:r w:rsidR="009D71E0" w:rsidRPr="00E37997">
        <w:rPr>
          <w:szCs w:val="22"/>
          <w:lang w:val="es-ES_tradnl"/>
        </w:rPr>
        <w:t>.xlsx</w:t>
      </w:r>
    </w:p>
    <w:p w:rsidR="009D71E0" w:rsidRPr="00E37997" w:rsidRDefault="009D71E0" w:rsidP="00E37997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szCs w:val="22"/>
          <w:lang w:val="es-ES_tradnl"/>
        </w:rPr>
      </w:pPr>
    </w:p>
    <w:p w:rsidR="002F140D" w:rsidRPr="00E37997" w:rsidRDefault="00B21001" w:rsidP="005823BA">
      <w:pPr>
        <w:pStyle w:val="Encabezado"/>
        <w:tabs>
          <w:tab w:val="clear" w:pos="4252"/>
          <w:tab w:val="clear" w:pos="8504"/>
        </w:tabs>
        <w:rPr>
          <w:szCs w:val="22"/>
          <w:lang w:val="es-ES_tradnl"/>
        </w:rPr>
      </w:pPr>
      <w:r w:rsidRPr="00E37997">
        <w:rPr>
          <w:b/>
          <w:szCs w:val="22"/>
          <w:lang w:val="es-ES_tradnl"/>
        </w:rPr>
        <w:t>SEGUNDA</w:t>
      </w:r>
      <w:r w:rsidRPr="00E37997">
        <w:rPr>
          <w:szCs w:val="22"/>
          <w:lang w:val="es-ES_tradnl"/>
        </w:rPr>
        <w:t xml:space="preserve">.- </w:t>
      </w:r>
      <w:r w:rsidR="00D55881" w:rsidRPr="00E37997">
        <w:rPr>
          <w:szCs w:val="22"/>
          <w:lang w:val="es-ES_tradnl"/>
        </w:rPr>
        <w:t>Características de la Operación comprendida en el presente C</w:t>
      </w:r>
      <w:r w:rsidR="00E37997">
        <w:rPr>
          <w:szCs w:val="22"/>
          <w:lang w:val="es-ES_tradnl"/>
        </w:rPr>
        <w:t>ontrato</w:t>
      </w:r>
      <w:r w:rsidR="005823BA">
        <w:rPr>
          <w:szCs w:val="22"/>
          <w:lang w:val="es-ES_tradnl"/>
        </w:rPr>
        <w:t xml:space="preserve"> </w:t>
      </w:r>
      <w:r w:rsidRPr="00E37997">
        <w:rPr>
          <w:szCs w:val="22"/>
          <w:lang w:val="es-ES_tradnl"/>
        </w:rPr>
        <w:t>Específico:</w:t>
      </w:r>
    </w:p>
    <w:p w:rsidR="00852A85" w:rsidRPr="00E37997" w:rsidRDefault="00852A85" w:rsidP="00E37997">
      <w:pPr>
        <w:pStyle w:val="Encabezado"/>
        <w:tabs>
          <w:tab w:val="clear" w:pos="4252"/>
          <w:tab w:val="clear" w:pos="8504"/>
        </w:tabs>
        <w:ind w:left="567" w:hanging="567"/>
        <w:jc w:val="both"/>
        <w:rPr>
          <w:szCs w:val="22"/>
          <w:lang w:val="es-ES_tradn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812"/>
      </w:tblGrid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N° de Operación</w:t>
            </w:r>
          </w:p>
        </w:tc>
        <w:tc>
          <w:tcPr>
            <w:tcW w:w="5812" w:type="dxa"/>
            <w:vAlign w:val="center"/>
          </w:tcPr>
          <w:p w:rsidR="00852A85" w:rsidRPr="005823BA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Número de la subasta</w:t>
            </w:r>
            <w:r w:rsidRPr="004D66A5" w:rsidDel="009F1F3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 xml:space="preserve"> </w:t>
            </w:r>
            <w:r w:rsidR="00BC650E"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 xml:space="preserve"> u operación directa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4D66A5" w:rsidRDefault="00736244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</w:t>
            </w:r>
          </w:p>
        </w:tc>
        <w:tc>
          <w:tcPr>
            <w:tcW w:w="5812" w:type="dxa"/>
            <w:vAlign w:val="center"/>
          </w:tcPr>
          <w:p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Subasta o Directa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Esquema</w:t>
            </w:r>
          </w:p>
        </w:tc>
        <w:tc>
          <w:tcPr>
            <w:tcW w:w="5812" w:type="dxa"/>
            <w:vAlign w:val="center"/>
          </w:tcPr>
          <w:p w:rsidR="00852A85" w:rsidRPr="005823BA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General</w:t>
            </w:r>
            <w:r w:rsidR="00353D96"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,</w:t>
            </w: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 xml:space="preserve"> Alternativo</w:t>
            </w:r>
            <w:bookmarkStart w:id="0" w:name="_GoBack"/>
            <w:bookmarkEnd w:id="0"/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083F06" w:rsidRPr="000F262D" w:rsidRDefault="000D09B7" w:rsidP="00E37997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F262D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5812" w:type="dxa"/>
            <w:vAlign w:val="center"/>
          </w:tcPr>
          <w:p w:rsidR="00AF5D2E" w:rsidRPr="000F262D" w:rsidRDefault="000D09B7" w:rsidP="00582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62D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Reprogramación de Cartera; Expansión de Crédito</w:t>
            </w:r>
            <w:r w:rsidR="004E485E" w:rsidRPr="000F262D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; No Aplica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Fecha de Venta</w:t>
            </w:r>
            <w:r w:rsidR="00A71978" w:rsidRPr="00E37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504" w:rsidRPr="00E37997">
              <w:rPr>
                <w:rFonts w:ascii="Arial" w:hAnsi="Arial" w:cs="Arial"/>
                <w:sz w:val="22"/>
                <w:szCs w:val="22"/>
              </w:rPr>
              <w:t>(</w:t>
            </w:r>
            <w:r w:rsidR="009E6A14" w:rsidRPr="00E37997">
              <w:rPr>
                <w:rFonts w:ascii="Arial" w:hAnsi="Arial" w:cs="Arial"/>
                <w:sz w:val="22"/>
                <w:szCs w:val="22"/>
              </w:rPr>
              <w:t>Negociación</w:t>
            </w:r>
            <w:r w:rsidR="00676504" w:rsidRPr="00E379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12" w:type="dxa"/>
            <w:vAlign w:val="center"/>
          </w:tcPr>
          <w:p w:rsidR="00852A85" w:rsidRPr="005823BA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dd-mm-aaaa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1B543B" w:rsidRPr="00E37997" w:rsidRDefault="001B543B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lastRenderedPageBreak/>
              <w:t>Fecha de Liquidación de  Venta</w:t>
            </w:r>
            <w:r w:rsidR="00A71978" w:rsidRPr="00E37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504" w:rsidRPr="00E37997">
              <w:rPr>
                <w:rFonts w:ascii="Arial" w:hAnsi="Arial" w:cs="Arial"/>
                <w:sz w:val="22"/>
                <w:szCs w:val="22"/>
              </w:rPr>
              <w:t>(Desembolso)</w:t>
            </w:r>
          </w:p>
        </w:tc>
        <w:tc>
          <w:tcPr>
            <w:tcW w:w="5812" w:type="dxa"/>
            <w:vAlign w:val="center"/>
          </w:tcPr>
          <w:p w:rsidR="001B543B" w:rsidRPr="004D66A5" w:rsidRDefault="001B543B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dd-mm-aaaa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Fecha de Recompra</w:t>
            </w:r>
          </w:p>
        </w:tc>
        <w:tc>
          <w:tcPr>
            <w:tcW w:w="5812" w:type="dxa"/>
            <w:vAlign w:val="center"/>
          </w:tcPr>
          <w:p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dd-mm-aaaa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72547F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i/>
                <w:sz w:val="22"/>
                <w:szCs w:val="22"/>
              </w:rPr>
              <w:t>Haircut</w:t>
            </w:r>
            <w:r w:rsidRPr="00E37997">
              <w:rPr>
                <w:rFonts w:ascii="Arial" w:hAnsi="Arial" w:cs="Arial"/>
                <w:sz w:val="22"/>
                <w:szCs w:val="22"/>
              </w:rPr>
              <w:t xml:space="preserve"> Aplicado</w:t>
            </w:r>
          </w:p>
        </w:tc>
        <w:tc>
          <w:tcPr>
            <w:tcW w:w="5812" w:type="dxa"/>
            <w:vAlign w:val="center"/>
          </w:tcPr>
          <w:p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Porcent</w:t>
            </w:r>
            <w:r w:rsidR="004207FA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aje con dos decimales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Monto Inicial (de venta)</w:t>
            </w:r>
          </w:p>
        </w:tc>
        <w:tc>
          <w:tcPr>
            <w:tcW w:w="5812" w:type="dxa"/>
            <w:vAlign w:val="center"/>
          </w:tcPr>
          <w:p w:rsidR="00852A85" w:rsidRPr="004D66A5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4D66A5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Unidades con dos decimales</w:t>
            </w:r>
          </w:p>
        </w:tc>
      </w:tr>
      <w:tr w:rsidR="005823BA" w:rsidRPr="005823BA" w:rsidTr="007B2944">
        <w:trPr>
          <w:trHeight w:val="474"/>
        </w:trPr>
        <w:tc>
          <w:tcPr>
            <w:tcW w:w="2977" w:type="dxa"/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Monto Final (de recompra)</w:t>
            </w:r>
          </w:p>
        </w:tc>
        <w:tc>
          <w:tcPr>
            <w:tcW w:w="5812" w:type="dxa"/>
            <w:vAlign w:val="center"/>
          </w:tcPr>
          <w:p w:rsidR="00852A85" w:rsidRPr="005823BA" w:rsidRDefault="0072547F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3BA">
              <w:rPr>
                <w:rFonts w:ascii="Arial" w:hAnsi="Arial" w:cs="Arial"/>
                <w:sz w:val="22"/>
                <w:szCs w:val="22"/>
              </w:rPr>
              <w:t>Será el monto de la última recompra más los intereses que corresponda</w:t>
            </w:r>
          </w:p>
        </w:tc>
      </w:tr>
      <w:tr w:rsidR="005823BA" w:rsidRPr="005823BA" w:rsidTr="00F71D0A">
        <w:trPr>
          <w:trHeight w:val="47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C650E" w:rsidRPr="00E37997" w:rsidRDefault="00BC650E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Tasa de Interés</w:t>
            </w:r>
            <w:r w:rsidR="00F71D0A" w:rsidRPr="00E3799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F71D0A" w:rsidRPr="008C59F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C650E" w:rsidRPr="005960F9" w:rsidRDefault="00BC650E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5960F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Porcentaje con dos decimales por ciento</w:t>
            </w:r>
          </w:p>
        </w:tc>
      </w:tr>
      <w:tr w:rsidR="005823BA" w:rsidRPr="005823BA" w:rsidTr="00F71D0A">
        <w:trPr>
          <w:trHeight w:val="47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2547F" w:rsidRPr="00E37997" w:rsidRDefault="0072547F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Periodicidad de cobro de intereses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2547F" w:rsidRPr="005960F9" w:rsidRDefault="0072547F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5960F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Fin de Periodo ó Trimestral</w:t>
            </w:r>
          </w:p>
        </w:tc>
      </w:tr>
      <w:tr w:rsidR="005823BA" w:rsidRPr="005823BA" w:rsidTr="00F71D0A">
        <w:trPr>
          <w:trHeight w:val="47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2A85" w:rsidRPr="00E37997" w:rsidRDefault="00852A85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>Tipo de cambio (si aplica)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52A85" w:rsidRPr="005960F9" w:rsidRDefault="00852A85" w:rsidP="00E37997">
            <w:pPr>
              <w:jc w:val="both"/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5960F9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Unidades con cuatro decimales</w:t>
            </w:r>
          </w:p>
        </w:tc>
      </w:tr>
      <w:tr w:rsidR="00F71D0A" w:rsidRPr="00E37997" w:rsidTr="00F71D0A">
        <w:trPr>
          <w:trHeight w:val="474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3BA" w:rsidRPr="004A466E" w:rsidRDefault="005823BA" w:rsidP="00E37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D0A" w:rsidRPr="00E37997" w:rsidRDefault="00F71D0A" w:rsidP="00BF3A79">
            <w:pPr>
              <w:jc w:val="both"/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E37997">
              <w:rPr>
                <w:rFonts w:ascii="Arial" w:hAnsi="Arial" w:cs="Arial"/>
                <w:sz w:val="22"/>
                <w:szCs w:val="22"/>
              </w:rPr>
              <w:t xml:space="preserve">1/ </w:t>
            </w:r>
            <w:r w:rsidR="00BF3A79">
              <w:rPr>
                <w:rFonts w:ascii="Arial" w:hAnsi="Arial" w:cs="Arial"/>
                <w:sz w:val="22"/>
                <w:szCs w:val="22"/>
              </w:rPr>
              <w:t>S</w:t>
            </w:r>
            <w:r w:rsidRPr="00E37997">
              <w:rPr>
                <w:rFonts w:ascii="Arial" w:hAnsi="Arial" w:cs="Arial"/>
                <w:sz w:val="22"/>
                <w:szCs w:val="22"/>
              </w:rPr>
              <w:t xml:space="preserve">i hay más de una postura, se </w:t>
            </w:r>
            <w:r w:rsidR="00A978DA" w:rsidRPr="00E37997">
              <w:rPr>
                <w:rFonts w:ascii="Arial" w:hAnsi="Arial" w:cs="Arial"/>
                <w:sz w:val="22"/>
                <w:szCs w:val="22"/>
              </w:rPr>
              <w:t xml:space="preserve">calculará </w:t>
            </w:r>
            <w:r w:rsidRPr="00E37997">
              <w:rPr>
                <w:rFonts w:ascii="Arial" w:hAnsi="Arial" w:cs="Arial"/>
                <w:sz w:val="22"/>
                <w:szCs w:val="22"/>
              </w:rPr>
              <w:t>la tasa de interés implícita de la operación, sin redondearla</w:t>
            </w:r>
            <w:r w:rsidR="00A978DA" w:rsidRPr="00E379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71D0A" w:rsidRPr="00E37997" w:rsidRDefault="00F71D0A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ES_tradnl"/>
        </w:rPr>
      </w:pPr>
      <w:r w:rsidRPr="00E37997">
        <w:rPr>
          <w:szCs w:val="22"/>
          <w:lang w:val="es-ES_tradnl"/>
        </w:rPr>
        <w:t xml:space="preserve"> </w:t>
      </w:r>
    </w:p>
    <w:p w:rsidR="0072547F" w:rsidRPr="00E37997" w:rsidRDefault="0072547F" w:rsidP="00E37997">
      <w:pPr>
        <w:pStyle w:val="Encabezado"/>
        <w:jc w:val="both"/>
        <w:rPr>
          <w:szCs w:val="22"/>
          <w:lang w:val="es-ES_tradnl"/>
        </w:rPr>
      </w:pPr>
      <w:r w:rsidRPr="00E37997">
        <w:rPr>
          <w:b/>
          <w:bCs/>
          <w:szCs w:val="22"/>
          <w:lang w:val="es-ES_tradnl"/>
        </w:rPr>
        <w:t>TERCERA</w:t>
      </w:r>
      <w:r w:rsidRPr="00E37997">
        <w:rPr>
          <w:szCs w:val="22"/>
          <w:lang w:val="es-ES_tradnl"/>
        </w:rPr>
        <w:t>.- Si la presente Operación se lleva a cabo al amparo de la Circular</w:t>
      </w:r>
      <w:r w:rsidR="005823BA">
        <w:rPr>
          <w:szCs w:val="22"/>
          <w:lang w:val="es-ES_tradnl"/>
        </w:rPr>
        <w:t xml:space="preserve"> N°</w:t>
      </w:r>
      <w:r w:rsidRPr="00E37997">
        <w:rPr>
          <w:szCs w:val="22"/>
          <w:lang w:val="es-ES_tradnl"/>
        </w:rPr>
        <w:t xml:space="preserve"> 0021-2020-BCRP o la que la sustituya, la EP manifiesta, con carácter de Declaración Jurada, haber reprogramado cartera de crédito de sus clientes o comprada a otras entidades </w:t>
      </w:r>
      <w:r w:rsidRPr="008C59FC">
        <w:rPr>
          <w:szCs w:val="22"/>
          <w:lang w:val="es-ES_tradnl"/>
        </w:rPr>
        <w:t>financieras, por un monto igual o mayor al desembolsado en la Cuenta Corriente de la EP,</w:t>
      </w:r>
      <w:r w:rsidRPr="00E37997">
        <w:rPr>
          <w:szCs w:val="22"/>
          <w:lang w:val="es-ES_tradnl"/>
        </w:rPr>
        <w:t xml:space="preserve"> y que</w:t>
      </w:r>
      <w:r w:rsidRPr="00E37997">
        <w:rPr>
          <w:szCs w:val="22"/>
        </w:rPr>
        <w:t xml:space="preserve"> </w:t>
      </w:r>
      <w:r w:rsidRPr="00E37997">
        <w:rPr>
          <w:szCs w:val="22"/>
          <w:lang w:val="es-ES_tradnl"/>
        </w:rPr>
        <w:t>cada crédito reprogramado tiene un contrato suscrito por el cliente y</w:t>
      </w:r>
      <w:r w:rsidRPr="00E37997">
        <w:rPr>
          <w:szCs w:val="22"/>
        </w:rPr>
        <w:t xml:space="preserve"> cumple </w:t>
      </w:r>
      <w:r w:rsidRPr="00E37997">
        <w:rPr>
          <w:szCs w:val="22"/>
          <w:lang w:val="es-ES_tradnl"/>
        </w:rPr>
        <w:t>con las condiciones previstas en el artículo 2</w:t>
      </w:r>
      <w:r w:rsidR="005823BA">
        <w:rPr>
          <w:szCs w:val="22"/>
          <w:lang w:val="es-ES_tradnl"/>
        </w:rPr>
        <w:t>°</w:t>
      </w:r>
      <w:r w:rsidRPr="00E37997">
        <w:rPr>
          <w:szCs w:val="22"/>
          <w:lang w:val="es-ES_tradnl"/>
        </w:rPr>
        <w:t xml:space="preserve"> de la Circular N° 0021-2020-BCRP</w:t>
      </w:r>
      <w:r w:rsidR="008C59FC">
        <w:rPr>
          <w:szCs w:val="22"/>
          <w:lang w:val="es-ES_tradnl"/>
        </w:rPr>
        <w:t xml:space="preserve"> </w:t>
      </w:r>
      <w:r w:rsidR="008C59FC" w:rsidRPr="00E37997">
        <w:rPr>
          <w:szCs w:val="22"/>
          <w:lang w:val="es-ES_tradnl"/>
        </w:rPr>
        <w:t>o la que la sustituya</w:t>
      </w:r>
      <w:r w:rsidR="008C59FC">
        <w:rPr>
          <w:szCs w:val="22"/>
          <w:lang w:val="es-ES_tradnl"/>
        </w:rPr>
        <w:t xml:space="preserve">, </w:t>
      </w:r>
      <w:r w:rsidRPr="00E37997">
        <w:rPr>
          <w:szCs w:val="22"/>
          <w:lang w:val="es-ES_tradnl"/>
        </w:rPr>
        <w:t>y de la respectiva convocatoria, conforme se detalla en la Declaración Jurada que integra y forma parte del presente Contrato Específico. La Declaración Jurada, publicada en el Portal Web de</w:t>
      </w:r>
      <w:r w:rsidR="005823BA">
        <w:rPr>
          <w:szCs w:val="22"/>
          <w:lang w:val="es-ES_tradnl"/>
        </w:rPr>
        <w:t xml:space="preserve"> EL</w:t>
      </w:r>
      <w:r w:rsidRPr="00E37997">
        <w:rPr>
          <w:szCs w:val="22"/>
          <w:lang w:val="es-ES_tradnl"/>
        </w:rPr>
        <w:t xml:space="preserve"> B</w:t>
      </w:r>
      <w:r w:rsidR="005823BA">
        <w:rPr>
          <w:szCs w:val="22"/>
          <w:lang w:val="es-ES_tradnl"/>
        </w:rPr>
        <w:t>CRP</w:t>
      </w:r>
      <w:r w:rsidRPr="00E37997">
        <w:rPr>
          <w:szCs w:val="22"/>
          <w:lang w:val="es-ES_tradnl"/>
        </w:rPr>
        <w:t xml:space="preserve">, debe ser enviada en formato Excel al correo </w:t>
      </w:r>
      <w:r w:rsidR="007C2079">
        <w:rPr>
          <w:szCs w:val="22"/>
          <w:lang w:val="es-ES_tradnl"/>
        </w:rPr>
        <w:t xml:space="preserve">electrónico </w:t>
      </w:r>
      <w:r w:rsidRPr="00E37997">
        <w:rPr>
          <w:szCs w:val="22"/>
          <w:lang w:val="es-ES_tradnl"/>
        </w:rPr>
        <w:t xml:space="preserve">del Departamento de Liquidación y Control de Operaciones Internas </w:t>
      </w:r>
      <w:hyperlink r:id="rId8" w:history="1">
        <w:r w:rsidRPr="00E37997">
          <w:rPr>
            <w:rStyle w:val="Hipervnculo"/>
            <w:szCs w:val="22"/>
            <w:lang w:val="es-ES_tradnl"/>
          </w:rPr>
          <w:t>Dpto.RegistroLiqConOpeInt@bcrp.gob.pe</w:t>
        </w:r>
      </w:hyperlink>
      <w:r w:rsidRPr="00E37997">
        <w:rPr>
          <w:szCs w:val="22"/>
          <w:lang w:val="es-ES_tradnl"/>
        </w:rPr>
        <w:t xml:space="preserve"> o a través del SIBFTP cuando </w:t>
      </w:r>
      <w:r w:rsidR="005823BA">
        <w:rPr>
          <w:szCs w:val="22"/>
          <w:lang w:val="es-ES_tradnl"/>
        </w:rPr>
        <w:t>EL</w:t>
      </w:r>
      <w:r w:rsidRPr="00E37997">
        <w:rPr>
          <w:szCs w:val="22"/>
          <w:lang w:val="es-ES_tradnl"/>
        </w:rPr>
        <w:t xml:space="preserve"> BCRP lo indique. La Declaración Jurada en formato Excel tiene el siguiente nombre:</w:t>
      </w:r>
    </w:p>
    <w:p w:rsidR="0072547F" w:rsidRPr="00E37997" w:rsidRDefault="0072547F" w:rsidP="00E37997">
      <w:pPr>
        <w:pStyle w:val="Encabezado"/>
        <w:jc w:val="both"/>
        <w:rPr>
          <w:szCs w:val="22"/>
          <w:lang w:val="es-ES_tradnl"/>
        </w:rPr>
      </w:pPr>
    </w:p>
    <w:p w:rsidR="0072547F" w:rsidRPr="00E37997" w:rsidRDefault="0072547F" w:rsidP="00E37997">
      <w:pPr>
        <w:pStyle w:val="Encabezado"/>
        <w:numPr>
          <w:ilvl w:val="0"/>
          <w:numId w:val="6"/>
        </w:numPr>
        <w:rPr>
          <w:szCs w:val="22"/>
          <w:lang w:val="es-ES_tradnl"/>
        </w:rPr>
      </w:pPr>
      <w:r w:rsidRPr="00E37997">
        <w:rPr>
          <w:szCs w:val="22"/>
          <w:lang w:val="es-ES_tradnl"/>
        </w:rPr>
        <w:t>DJ-REP-CAR-[CODIGO ENTIDAD]-[N° OPERACIÓN].xlsx</w:t>
      </w:r>
    </w:p>
    <w:p w:rsidR="0072547F" w:rsidRPr="00E37997" w:rsidRDefault="0072547F" w:rsidP="00E37997">
      <w:pPr>
        <w:pStyle w:val="Encabezado"/>
        <w:numPr>
          <w:ilvl w:val="0"/>
          <w:numId w:val="6"/>
        </w:numPr>
        <w:rPr>
          <w:szCs w:val="22"/>
          <w:lang w:val="es-PE"/>
        </w:rPr>
      </w:pPr>
      <w:r w:rsidRPr="00E37997">
        <w:rPr>
          <w:szCs w:val="22"/>
          <w:lang w:val="es-PE"/>
        </w:rPr>
        <w:t>DJ-REP-CAR-[000#]-[000#].xlsx</w:t>
      </w:r>
    </w:p>
    <w:p w:rsidR="0072547F" w:rsidRPr="00E37997" w:rsidRDefault="0072547F" w:rsidP="00BF3A79">
      <w:pPr>
        <w:pStyle w:val="Encabezado"/>
        <w:ind w:left="284"/>
        <w:jc w:val="both"/>
        <w:rPr>
          <w:color w:val="FF0000"/>
          <w:szCs w:val="22"/>
          <w:lang w:val="es-PE"/>
        </w:rPr>
      </w:pPr>
    </w:p>
    <w:p w:rsidR="0072547F" w:rsidRPr="00E37997" w:rsidRDefault="0072547F" w:rsidP="00E379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7997">
        <w:rPr>
          <w:rFonts w:ascii="Arial" w:hAnsi="Arial" w:cs="Arial"/>
          <w:sz w:val="22"/>
          <w:szCs w:val="22"/>
        </w:rPr>
        <w:t xml:space="preserve">Los créditos reprogramados a que se refiere la Circular </w:t>
      </w:r>
      <w:r w:rsidR="005823BA">
        <w:rPr>
          <w:rFonts w:ascii="Arial" w:hAnsi="Arial" w:cs="Arial"/>
          <w:sz w:val="22"/>
          <w:szCs w:val="22"/>
        </w:rPr>
        <w:t xml:space="preserve">N° </w:t>
      </w:r>
      <w:r w:rsidRPr="00E37997">
        <w:rPr>
          <w:rFonts w:ascii="Arial" w:hAnsi="Arial" w:cs="Arial"/>
          <w:sz w:val="22"/>
          <w:szCs w:val="22"/>
        </w:rPr>
        <w:t>021-2020-BCRP o la que la sustituya, no deben corresponder a los Directores o trabajadores de</w:t>
      </w:r>
      <w:r w:rsidR="000C5EA7">
        <w:rPr>
          <w:rFonts w:ascii="Arial" w:hAnsi="Arial" w:cs="Arial"/>
          <w:sz w:val="22"/>
          <w:szCs w:val="22"/>
        </w:rPr>
        <w:t xml:space="preserve"> EL</w:t>
      </w:r>
      <w:r w:rsidRPr="00E37997">
        <w:rPr>
          <w:rFonts w:ascii="Arial" w:hAnsi="Arial" w:cs="Arial"/>
          <w:sz w:val="22"/>
          <w:szCs w:val="22"/>
        </w:rPr>
        <w:t xml:space="preserve"> B</w:t>
      </w:r>
      <w:r w:rsidR="005823BA">
        <w:rPr>
          <w:rFonts w:ascii="Arial" w:hAnsi="Arial" w:cs="Arial"/>
          <w:sz w:val="22"/>
          <w:szCs w:val="22"/>
        </w:rPr>
        <w:t>CRP.</w:t>
      </w:r>
      <w:r w:rsidRPr="00E37997">
        <w:rPr>
          <w:rFonts w:ascii="Arial" w:hAnsi="Arial" w:cs="Arial"/>
          <w:sz w:val="22"/>
          <w:szCs w:val="22"/>
        </w:rPr>
        <w:t xml:space="preserve"> </w:t>
      </w:r>
    </w:p>
    <w:p w:rsidR="0072547F" w:rsidRPr="00E37997" w:rsidRDefault="0072547F" w:rsidP="00E37997">
      <w:pPr>
        <w:jc w:val="both"/>
        <w:rPr>
          <w:rFonts w:ascii="Arial" w:hAnsi="Arial" w:cs="Arial"/>
          <w:sz w:val="22"/>
          <w:szCs w:val="22"/>
          <w:lang w:eastAsia="es-PE"/>
        </w:rPr>
      </w:pPr>
    </w:p>
    <w:p w:rsidR="0072547F" w:rsidRPr="00E37997" w:rsidRDefault="0072547F" w:rsidP="00E37997">
      <w:pPr>
        <w:jc w:val="both"/>
        <w:rPr>
          <w:rFonts w:ascii="Arial" w:hAnsi="Arial" w:cs="Arial"/>
          <w:sz w:val="22"/>
          <w:szCs w:val="22"/>
          <w:lang w:val="es-PE" w:eastAsia="es-PE"/>
        </w:rPr>
      </w:pPr>
      <w:r w:rsidRPr="00E37997">
        <w:rPr>
          <w:rFonts w:ascii="Arial" w:hAnsi="Arial" w:cs="Arial"/>
          <w:sz w:val="22"/>
          <w:szCs w:val="22"/>
        </w:rPr>
        <w:t xml:space="preserve">La EP es responsable de que las operaciones que </w:t>
      </w:r>
      <w:r w:rsidR="00FF3FBB">
        <w:rPr>
          <w:rFonts w:ascii="Arial" w:hAnsi="Arial" w:cs="Arial"/>
          <w:sz w:val="22"/>
          <w:szCs w:val="22"/>
        </w:rPr>
        <w:t xml:space="preserve">se </w:t>
      </w:r>
      <w:r w:rsidRPr="00E37997">
        <w:rPr>
          <w:rFonts w:ascii="Arial" w:hAnsi="Arial" w:cs="Arial"/>
          <w:sz w:val="22"/>
          <w:szCs w:val="22"/>
        </w:rPr>
        <w:t>canali</w:t>
      </w:r>
      <w:r w:rsidR="001504F4">
        <w:rPr>
          <w:rFonts w:ascii="Arial" w:hAnsi="Arial" w:cs="Arial"/>
          <w:sz w:val="22"/>
          <w:szCs w:val="22"/>
        </w:rPr>
        <w:t>cen</w:t>
      </w:r>
      <w:r w:rsidRPr="00E37997">
        <w:rPr>
          <w:rFonts w:ascii="Arial" w:hAnsi="Arial" w:cs="Arial"/>
          <w:sz w:val="22"/>
          <w:szCs w:val="22"/>
        </w:rPr>
        <w:t xml:space="preserve"> bajo la Circular</w:t>
      </w:r>
      <w:r w:rsidR="005823BA">
        <w:rPr>
          <w:rFonts w:ascii="Arial" w:hAnsi="Arial" w:cs="Arial"/>
          <w:sz w:val="22"/>
          <w:szCs w:val="22"/>
        </w:rPr>
        <w:t xml:space="preserve"> N° </w:t>
      </w:r>
      <w:r w:rsidRPr="00E37997">
        <w:rPr>
          <w:rFonts w:ascii="Arial" w:hAnsi="Arial" w:cs="Arial"/>
          <w:sz w:val="22"/>
          <w:szCs w:val="22"/>
        </w:rPr>
        <w:t>021-2020-BCRP o la que la sustituya, no contravienen alguna norma vigente o contrato al que esté vinculada, liberando a</w:t>
      </w:r>
      <w:r w:rsidR="000C5EA7">
        <w:rPr>
          <w:rFonts w:ascii="Arial" w:hAnsi="Arial" w:cs="Arial"/>
          <w:sz w:val="22"/>
          <w:szCs w:val="22"/>
        </w:rPr>
        <w:t xml:space="preserve"> EL</w:t>
      </w:r>
      <w:r w:rsidRPr="00E37997">
        <w:rPr>
          <w:rFonts w:ascii="Arial" w:hAnsi="Arial" w:cs="Arial"/>
          <w:sz w:val="22"/>
          <w:szCs w:val="22"/>
        </w:rPr>
        <w:t xml:space="preserve"> B</w:t>
      </w:r>
      <w:r w:rsidR="005823BA">
        <w:rPr>
          <w:rFonts w:ascii="Arial" w:hAnsi="Arial" w:cs="Arial"/>
          <w:sz w:val="22"/>
          <w:szCs w:val="22"/>
        </w:rPr>
        <w:t>CRP</w:t>
      </w:r>
      <w:r w:rsidRPr="00E37997">
        <w:rPr>
          <w:rFonts w:ascii="Arial" w:hAnsi="Arial" w:cs="Arial"/>
          <w:sz w:val="22"/>
          <w:szCs w:val="22"/>
        </w:rPr>
        <w:t xml:space="preserve"> de toda responsabilidad. Asimismo, la EP</w:t>
      </w:r>
      <w:r w:rsidRPr="00E37997">
        <w:rPr>
          <w:rStyle w:val="nfasis"/>
          <w:rFonts w:ascii="Arial" w:hAnsi="Arial" w:cs="Arial"/>
          <w:i w:val="0"/>
          <w:iCs w:val="0"/>
          <w:sz w:val="22"/>
          <w:szCs w:val="22"/>
        </w:rPr>
        <w:t> es responsable de la veracidad y exactitud de la información que sustenta la Operación que regula el presente Contrato Específico y</w:t>
      </w:r>
      <w:r w:rsidRPr="00E37997">
        <w:rPr>
          <w:rStyle w:val="apple-converted-space"/>
          <w:rFonts w:ascii="Arial" w:hAnsi="Arial" w:cs="Arial"/>
          <w:sz w:val="22"/>
          <w:szCs w:val="22"/>
        </w:rPr>
        <w:t> de </w:t>
      </w:r>
      <w:r w:rsidRPr="00E37997">
        <w:rPr>
          <w:rFonts w:ascii="Arial" w:hAnsi="Arial" w:cs="Arial"/>
          <w:sz w:val="22"/>
          <w:szCs w:val="22"/>
        </w:rPr>
        <w:t>cualquier declaración falsa o inexacta, fraude o simulación que genere responsabilidad civil o penal, así como las sanciones a que hubiere lugar.</w:t>
      </w:r>
    </w:p>
    <w:p w:rsidR="00D55881" w:rsidRPr="00E37997" w:rsidRDefault="00D55881" w:rsidP="00E37997">
      <w:pPr>
        <w:pStyle w:val="Encabezado"/>
        <w:tabs>
          <w:tab w:val="clear" w:pos="4252"/>
          <w:tab w:val="clear" w:pos="8504"/>
        </w:tabs>
        <w:jc w:val="both"/>
        <w:rPr>
          <w:szCs w:val="22"/>
          <w:lang w:val="es-PE"/>
        </w:rPr>
      </w:pPr>
    </w:p>
    <w:p w:rsidR="00766360" w:rsidRPr="00E37997" w:rsidRDefault="008A42D5" w:rsidP="00E3799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37997">
        <w:rPr>
          <w:rFonts w:ascii="Arial" w:hAnsi="Arial" w:cs="Arial"/>
          <w:b/>
          <w:sz w:val="22"/>
          <w:szCs w:val="22"/>
          <w:lang w:val="es-PE"/>
        </w:rPr>
        <w:t>CUARTA</w:t>
      </w:r>
      <w:r w:rsidR="004F21F2" w:rsidRPr="00E37997">
        <w:rPr>
          <w:rFonts w:ascii="Arial" w:hAnsi="Arial" w:cs="Arial"/>
          <w:sz w:val="22"/>
          <w:szCs w:val="22"/>
          <w:lang w:val="es-PE"/>
        </w:rPr>
        <w:t xml:space="preserve">.- </w:t>
      </w:r>
      <w:r w:rsidR="00B67154" w:rsidRPr="00E37997">
        <w:rPr>
          <w:rFonts w:ascii="Arial" w:hAnsi="Arial" w:cs="Arial"/>
          <w:sz w:val="22"/>
          <w:szCs w:val="22"/>
          <w:lang w:val="es-ES_tradnl"/>
        </w:rPr>
        <w:t>P</w:t>
      </w:r>
      <w:r w:rsidR="002F140D" w:rsidRPr="00E37997">
        <w:rPr>
          <w:rFonts w:ascii="Arial" w:hAnsi="Arial" w:cs="Arial"/>
          <w:sz w:val="22"/>
          <w:szCs w:val="22"/>
          <w:lang w:val="es-ES_tradnl"/>
        </w:rPr>
        <w:t>revio al desembolso</w:t>
      </w:r>
      <w:r w:rsidR="007D091B" w:rsidRPr="00E37997">
        <w:rPr>
          <w:rFonts w:ascii="Arial" w:hAnsi="Arial" w:cs="Arial"/>
          <w:sz w:val="22"/>
          <w:szCs w:val="22"/>
          <w:lang w:val="es-ES_tradnl"/>
        </w:rPr>
        <w:t>,</w:t>
      </w:r>
      <w:r w:rsidR="002F140D" w:rsidRPr="00E37997">
        <w:rPr>
          <w:rFonts w:ascii="Arial" w:hAnsi="Arial" w:cs="Arial"/>
          <w:sz w:val="22"/>
          <w:szCs w:val="22"/>
          <w:lang w:val="es-ES_tradnl"/>
        </w:rPr>
        <w:t xml:space="preserve"> LA </w:t>
      </w:r>
      <w:r w:rsidR="00420AC4" w:rsidRPr="00E37997">
        <w:rPr>
          <w:rFonts w:ascii="Arial" w:hAnsi="Arial" w:cs="Arial"/>
          <w:sz w:val="22"/>
          <w:szCs w:val="22"/>
          <w:lang w:val="es-ES_tradnl"/>
        </w:rPr>
        <w:t xml:space="preserve">EP </w:t>
      </w:r>
      <w:r w:rsidR="002F140D" w:rsidRPr="00E37997">
        <w:rPr>
          <w:rFonts w:ascii="Arial" w:hAnsi="Arial" w:cs="Arial"/>
          <w:sz w:val="22"/>
          <w:szCs w:val="22"/>
          <w:lang w:val="es-ES_tradnl"/>
        </w:rPr>
        <w:t xml:space="preserve">deberá </w:t>
      </w:r>
      <w:r w:rsidR="00DF5B17" w:rsidRPr="00E37997">
        <w:rPr>
          <w:rFonts w:ascii="Arial" w:hAnsi="Arial" w:cs="Arial"/>
          <w:sz w:val="22"/>
          <w:szCs w:val="22"/>
          <w:lang w:val="es-ES_tradnl"/>
        </w:rPr>
        <w:t xml:space="preserve">haber </w:t>
      </w:r>
      <w:r w:rsidR="002F140D" w:rsidRPr="00E37997">
        <w:rPr>
          <w:rFonts w:ascii="Arial" w:hAnsi="Arial" w:cs="Arial"/>
          <w:sz w:val="22"/>
          <w:szCs w:val="22"/>
          <w:lang w:val="es-ES_tradnl"/>
        </w:rPr>
        <w:t>entrega</w:t>
      </w:r>
      <w:r w:rsidR="00DF5B17" w:rsidRPr="00E37997">
        <w:rPr>
          <w:rFonts w:ascii="Arial" w:hAnsi="Arial" w:cs="Arial"/>
          <w:sz w:val="22"/>
          <w:szCs w:val="22"/>
          <w:lang w:val="es-ES_tradnl"/>
        </w:rPr>
        <w:t>do</w:t>
      </w:r>
      <w:r w:rsidR="002F140D" w:rsidRPr="00E3799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42DE8" w:rsidRPr="00E37997">
        <w:rPr>
          <w:rFonts w:ascii="Arial" w:hAnsi="Arial" w:cs="Arial"/>
          <w:sz w:val="22"/>
          <w:szCs w:val="22"/>
          <w:lang w:val="es-ES_tradnl"/>
        </w:rPr>
        <w:t xml:space="preserve">a EL </w:t>
      </w:r>
      <w:r w:rsidR="002F140D" w:rsidRPr="00E37997">
        <w:rPr>
          <w:rFonts w:ascii="Arial" w:hAnsi="Arial" w:cs="Arial"/>
          <w:sz w:val="22"/>
          <w:szCs w:val="22"/>
          <w:lang w:val="es-ES_tradnl"/>
        </w:rPr>
        <w:t xml:space="preserve">BCRP los documentos a que se refiere </w:t>
      </w:r>
      <w:r w:rsidR="00744FE3" w:rsidRPr="00E37997">
        <w:rPr>
          <w:rFonts w:ascii="Arial" w:hAnsi="Arial" w:cs="Arial"/>
          <w:sz w:val="22"/>
          <w:szCs w:val="22"/>
          <w:lang w:val="es-ES_tradnl"/>
        </w:rPr>
        <w:t xml:space="preserve">el inciso a) del </w:t>
      </w:r>
      <w:r w:rsidR="005823BA">
        <w:rPr>
          <w:rFonts w:ascii="Arial" w:hAnsi="Arial" w:cs="Arial"/>
          <w:sz w:val="22"/>
          <w:szCs w:val="22"/>
          <w:lang w:val="es-ES_tradnl"/>
        </w:rPr>
        <w:t>a</w:t>
      </w:r>
      <w:r w:rsidR="00744FE3" w:rsidRPr="00E37997">
        <w:rPr>
          <w:rFonts w:ascii="Arial" w:hAnsi="Arial" w:cs="Arial"/>
          <w:sz w:val="22"/>
          <w:szCs w:val="22"/>
          <w:lang w:val="es-ES_tradnl"/>
        </w:rPr>
        <w:t>rtículo 16</w:t>
      </w:r>
      <w:r w:rsidR="005823BA">
        <w:rPr>
          <w:rFonts w:ascii="Arial" w:hAnsi="Arial" w:cs="Arial"/>
          <w:sz w:val="22"/>
          <w:szCs w:val="22"/>
          <w:lang w:val="es-ES_tradnl"/>
        </w:rPr>
        <w:t>°</w:t>
      </w:r>
      <w:r w:rsidR="00744FE3" w:rsidRPr="00E37997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72547F" w:rsidRPr="00E37997">
        <w:rPr>
          <w:rFonts w:ascii="Arial" w:hAnsi="Arial" w:cs="Arial"/>
          <w:sz w:val="22"/>
          <w:szCs w:val="22"/>
          <w:lang w:val="es-ES_tradnl"/>
        </w:rPr>
        <w:t xml:space="preserve">La Circular. </w:t>
      </w:r>
    </w:p>
    <w:p w:rsidR="00766360" w:rsidRPr="00E37997" w:rsidRDefault="00766360" w:rsidP="00E3799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21001" w:rsidRPr="00E37997" w:rsidRDefault="00A77700" w:rsidP="00E37997">
      <w:pPr>
        <w:pStyle w:val="Textoindependiente3"/>
        <w:tabs>
          <w:tab w:val="left" w:pos="-1440"/>
          <w:tab w:val="left" w:pos="-720"/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b/>
          <w:szCs w:val="22"/>
        </w:rPr>
      </w:pPr>
      <w:r w:rsidRPr="00E37997">
        <w:rPr>
          <w:rFonts w:ascii="Arial" w:hAnsi="Arial" w:cs="Arial"/>
          <w:b/>
          <w:szCs w:val="22"/>
        </w:rPr>
        <w:t>QUINTA</w:t>
      </w:r>
      <w:r w:rsidR="004F21F2" w:rsidRPr="00E37997">
        <w:rPr>
          <w:rFonts w:ascii="Arial" w:hAnsi="Arial" w:cs="Arial"/>
          <w:szCs w:val="22"/>
          <w:lang w:val="es-ES_tradnl"/>
        </w:rPr>
        <w:t xml:space="preserve">.- </w:t>
      </w:r>
      <w:r w:rsidR="00B21001" w:rsidRPr="00E37997">
        <w:rPr>
          <w:rFonts w:ascii="Arial" w:hAnsi="Arial" w:cs="Arial"/>
          <w:b/>
          <w:szCs w:val="22"/>
        </w:rPr>
        <w:t xml:space="preserve"> </w:t>
      </w:r>
      <w:r w:rsidR="00B21001" w:rsidRPr="00E37997">
        <w:rPr>
          <w:rFonts w:ascii="Arial" w:hAnsi="Arial" w:cs="Arial"/>
          <w:szCs w:val="22"/>
        </w:rPr>
        <w:t xml:space="preserve">Para efectos del presente contrato, LA EP declara haber otorgado poder </w:t>
      </w:r>
      <w:r w:rsidR="00707F95">
        <w:rPr>
          <w:rFonts w:ascii="Arial" w:hAnsi="Arial" w:cs="Arial"/>
          <w:szCs w:val="22"/>
        </w:rPr>
        <w:t xml:space="preserve">irrevocable </w:t>
      </w:r>
      <w:r w:rsidR="00B21001" w:rsidRPr="00E37997">
        <w:rPr>
          <w:rFonts w:ascii="Arial" w:hAnsi="Arial" w:cs="Arial"/>
          <w:szCs w:val="22"/>
        </w:rPr>
        <w:t>a favor de EL BCRP,</w:t>
      </w:r>
      <w:r w:rsidR="002B065C" w:rsidRPr="00E37997">
        <w:rPr>
          <w:rFonts w:ascii="Arial" w:hAnsi="Arial" w:cs="Arial"/>
          <w:szCs w:val="22"/>
        </w:rPr>
        <w:t xml:space="preserve"> </w:t>
      </w:r>
      <w:r w:rsidR="00707F95">
        <w:rPr>
          <w:rFonts w:ascii="Arial" w:hAnsi="Arial" w:cs="Arial"/>
          <w:szCs w:val="22"/>
        </w:rPr>
        <w:t xml:space="preserve">a que hace referencia </w:t>
      </w:r>
      <w:r w:rsidR="00B21001" w:rsidRPr="00E37997">
        <w:rPr>
          <w:rFonts w:ascii="Arial" w:hAnsi="Arial" w:cs="Arial"/>
          <w:szCs w:val="22"/>
        </w:rPr>
        <w:t>la Cláusula Sétima del Contrato Marco</w:t>
      </w:r>
      <w:r w:rsidR="00C16625" w:rsidRPr="00E37997">
        <w:rPr>
          <w:rFonts w:ascii="Arial" w:hAnsi="Arial" w:cs="Arial"/>
          <w:szCs w:val="22"/>
        </w:rPr>
        <w:t>.</w:t>
      </w:r>
    </w:p>
    <w:p w:rsidR="00B21001" w:rsidRPr="00E37997" w:rsidRDefault="00B21001" w:rsidP="00E37997">
      <w:pPr>
        <w:pStyle w:val="Textoindependiente3"/>
        <w:tabs>
          <w:tab w:val="left" w:pos="-1440"/>
          <w:tab w:val="left" w:pos="-720"/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hAnsi="Arial" w:cs="Arial"/>
          <w:b/>
          <w:szCs w:val="22"/>
        </w:rPr>
      </w:pPr>
    </w:p>
    <w:p w:rsidR="00452972" w:rsidRPr="00C86CA5" w:rsidRDefault="00452972" w:rsidP="00E37997">
      <w:pPr>
        <w:jc w:val="both"/>
        <w:rPr>
          <w:rFonts w:ascii="Arial" w:hAnsi="Arial" w:cs="Arial"/>
          <w:sz w:val="22"/>
          <w:szCs w:val="22"/>
        </w:rPr>
      </w:pPr>
      <w:r w:rsidRPr="00707F95">
        <w:rPr>
          <w:rFonts w:ascii="Arial" w:hAnsi="Arial" w:cs="Arial"/>
          <w:b/>
          <w:bCs/>
          <w:sz w:val="22"/>
          <w:szCs w:val="22"/>
        </w:rPr>
        <w:lastRenderedPageBreak/>
        <w:t>SEXTA</w:t>
      </w:r>
      <w:r w:rsidRPr="00707F95">
        <w:rPr>
          <w:rFonts w:ascii="Arial" w:hAnsi="Arial" w:cs="Arial"/>
          <w:sz w:val="22"/>
          <w:szCs w:val="22"/>
        </w:rPr>
        <w:t xml:space="preserve">.- En la eventualidad de un incumplimiento total o parcial de la Recompra, EL BCRP valorizará la cartera para los fines a que se refiere el numeral 15.5 de la Cláusula Décima Quinta del Contrato Marco, aplicando un </w:t>
      </w:r>
      <w:r w:rsidRPr="00707F95">
        <w:rPr>
          <w:rFonts w:ascii="Arial" w:hAnsi="Arial" w:cs="Arial"/>
          <w:i/>
          <w:sz w:val="22"/>
          <w:szCs w:val="22"/>
        </w:rPr>
        <w:t>Haircut</w:t>
      </w:r>
      <w:r w:rsidRPr="00707F95">
        <w:rPr>
          <w:rFonts w:ascii="Arial" w:hAnsi="Arial" w:cs="Arial"/>
          <w:sz w:val="22"/>
          <w:szCs w:val="22"/>
        </w:rPr>
        <w:t xml:space="preserve"> adicional al establecido en la </w:t>
      </w:r>
      <w:r w:rsidR="00E37997" w:rsidRPr="00707F95">
        <w:rPr>
          <w:rFonts w:ascii="Arial" w:hAnsi="Arial" w:cs="Arial"/>
          <w:sz w:val="22"/>
          <w:szCs w:val="22"/>
        </w:rPr>
        <w:t>O</w:t>
      </w:r>
      <w:r w:rsidRPr="00707F95">
        <w:rPr>
          <w:rFonts w:ascii="Arial" w:hAnsi="Arial" w:cs="Arial"/>
          <w:sz w:val="22"/>
          <w:szCs w:val="22"/>
        </w:rPr>
        <w:t>peración de 20 por ciento al saldo pendiente de pago de los créditos no recomprados. Posteriormente, E</w:t>
      </w:r>
      <w:r w:rsidR="008C59FC" w:rsidRPr="00707F95">
        <w:rPr>
          <w:rFonts w:ascii="Arial" w:hAnsi="Arial" w:cs="Arial"/>
          <w:sz w:val="22"/>
          <w:szCs w:val="22"/>
        </w:rPr>
        <w:t>L</w:t>
      </w:r>
      <w:r w:rsidRPr="00707F95">
        <w:rPr>
          <w:rFonts w:ascii="Arial" w:hAnsi="Arial" w:cs="Arial"/>
          <w:sz w:val="22"/>
          <w:szCs w:val="22"/>
        </w:rPr>
        <w:t xml:space="preserve"> BCRP podrá llevar a cabo una subasta de los créditos no recomprados</w:t>
      </w:r>
      <w:r w:rsidR="00E37997" w:rsidRPr="00707F95">
        <w:rPr>
          <w:rFonts w:ascii="Arial" w:hAnsi="Arial" w:cs="Arial"/>
          <w:sz w:val="22"/>
          <w:szCs w:val="22"/>
        </w:rPr>
        <w:t>,</w:t>
      </w:r>
      <w:r w:rsidRPr="00707F95">
        <w:rPr>
          <w:rFonts w:ascii="Arial" w:hAnsi="Arial" w:cs="Arial"/>
          <w:sz w:val="22"/>
          <w:szCs w:val="22"/>
        </w:rPr>
        <w:t> </w:t>
      </w:r>
      <w:r w:rsidR="00E37997" w:rsidRPr="00707F95">
        <w:rPr>
          <w:rFonts w:ascii="Arial" w:hAnsi="Arial" w:cs="Arial"/>
          <w:sz w:val="22"/>
          <w:szCs w:val="22"/>
        </w:rPr>
        <w:t>invitando a participar a entidades del sistema financiero y otras que estime pertinente</w:t>
      </w:r>
      <w:r w:rsidR="008C59FC" w:rsidRPr="00707F95">
        <w:rPr>
          <w:rFonts w:ascii="Arial" w:hAnsi="Arial" w:cs="Arial"/>
          <w:sz w:val="22"/>
          <w:szCs w:val="22"/>
        </w:rPr>
        <w:t>.</w:t>
      </w:r>
    </w:p>
    <w:p w:rsidR="000533C6" w:rsidRPr="00C86CA5" w:rsidRDefault="000533C6" w:rsidP="00E37997">
      <w:pPr>
        <w:jc w:val="both"/>
        <w:rPr>
          <w:rFonts w:ascii="Arial" w:hAnsi="Arial" w:cs="Arial"/>
          <w:sz w:val="22"/>
          <w:szCs w:val="22"/>
        </w:rPr>
      </w:pPr>
    </w:p>
    <w:p w:rsidR="000533C6" w:rsidRPr="00C86CA5" w:rsidRDefault="000533C6" w:rsidP="00E37997">
      <w:pPr>
        <w:jc w:val="both"/>
        <w:rPr>
          <w:rFonts w:ascii="Arial" w:hAnsi="Arial" w:cs="Arial"/>
          <w:sz w:val="22"/>
          <w:szCs w:val="22"/>
        </w:rPr>
      </w:pPr>
      <w:r w:rsidRPr="00C86CA5">
        <w:rPr>
          <w:rFonts w:ascii="Arial" w:hAnsi="Arial" w:cs="Arial"/>
          <w:b/>
          <w:sz w:val="22"/>
          <w:szCs w:val="22"/>
        </w:rPr>
        <w:t>SEPTIMA</w:t>
      </w:r>
      <w:r w:rsidRPr="00C86CA5">
        <w:rPr>
          <w:rFonts w:ascii="Arial" w:hAnsi="Arial" w:cs="Arial"/>
          <w:sz w:val="22"/>
          <w:szCs w:val="22"/>
        </w:rPr>
        <w:t>.- Para fines de la Quinta Disposici</w:t>
      </w:r>
      <w:r w:rsidR="00A817B9" w:rsidRPr="00C86CA5">
        <w:rPr>
          <w:rFonts w:ascii="Arial" w:hAnsi="Arial" w:cs="Arial"/>
          <w:sz w:val="22"/>
          <w:szCs w:val="22"/>
        </w:rPr>
        <w:t>ón Final</w:t>
      </w:r>
      <w:r w:rsidR="00073EC6" w:rsidRPr="00C86CA5">
        <w:rPr>
          <w:rFonts w:ascii="Arial" w:hAnsi="Arial" w:cs="Arial"/>
          <w:sz w:val="22"/>
          <w:szCs w:val="22"/>
        </w:rPr>
        <w:t xml:space="preserve"> de la Circular N° 0033-2020-BCRP</w:t>
      </w:r>
      <w:r w:rsidR="00A817B9" w:rsidRPr="00C86CA5">
        <w:rPr>
          <w:rFonts w:ascii="Arial" w:hAnsi="Arial" w:cs="Arial"/>
          <w:sz w:val="22"/>
          <w:szCs w:val="22"/>
        </w:rPr>
        <w:t>, el</w:t>
      </w:r>
      <w:r w:rsidR="00C86CA5">
        <w:rPr>
          <w:rFonts w:ascii="Arial" w:hAnsi="Arial" w:cs="Arial"/>
          <w:sz w:val="22"/>
          <w:szCs w:val="22"/>
        </w:rPr>
        <w:t xml:space="preserve"> correo electrónico del BCRP es:</w:t>
      </w:r>
    </w:p>
    <w:p w:rsidR="00A817B9" w:rsidRPr="00C86CA5" w:rsidRDefault="00A817B9" w:rsidP="00E37997">
      <w:pPr>
        <w:jc w:val="both"/>
        <w:rPr>
          <w:rFonts w:ascii="Arial" w:hAnsi="Arial" w:cs="Arial"/>
          <w:sz w:val="22"/>
          <w:szCs w:val="22"/>
        </w:rPr>
      </w:pPr>
    </w:p>
    <w:p w:rsidR="00A817B9" w:rsidRPr="00C86CA5" w:rsidRDefault="000F262D" w:rsidP="00C86CA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hyperlink r:id="rId9" w:history="1">
        <w:r w:rsidR="00A817B9" w:rsidRPr="00C86CA5">
          <w:rPr>
            <w:rStyle w:val="Hipervnculo"/>
            <w:rFonts w:ascii="Arial" w:hAnsi="Arial" w:cs="Arial"/>
            <w:sz w:val="22"/>
            <w:szCs w:val="22"/>
            <w:lang w:val="es-ES_tradnl"/>
          </w:rPr>
          <w:t>Dpto.RegistroLiqConOpeInt@bcrp.gob.pe</w:t>
        </w:r>
      </w:hyperlink>
    </w:p>
    <w:p w:rsidR="00707F95" w:rsidRPr="00C86CA5" w:rsidRDefault="00707F95" w:rsidP="00E37997">
      <w:pPr>
        <w:jc w:val="both"/>
        <w:rPr>
          <w:rFonts w:ascii="Arial" w:hAnsi="Arial" w:cs="Arial"/>
          <w:sz w:val="22"/>
          <w:szCs w:val="22"/>
        </w:rPr>
      </w:pPr>
    </w:p>
    <w:p w:rsidR="00A626F5" w:rsidRPr="00E37997" w:rsidRDefault="00A626F5" w:rsidP="00E37997">
      <w:pPr>
        <w:jc w:val="both"/>
        <w:rPr>
          <w:rFonts w:ascii="Arial" w:hAnsi="Arial" w:cs="Arial"/>
          <w:sz w:val="22"/>
          <w:szCs w:val="22"/>
        </w:rPr>
      </w:pPr>
    </w:p>
    <w:p w:rsidR="00A626F5" w:rsidRDefault="00A626F5" w:rsidP="00E37997">
      <w:pPr>
        <w:jc w:val="both"/>
        <w:rPr>
          <w:rFonts w:ascii="Arial" w:hAnsi="Arial" w:cs="Arial"/>
          <w:sz w:val="22"/>
          <w:szCs w:val="22"/>
        </w:rPr>
      </w:pPr>
    </w:p>
    <w:p w:rsidR="005823BA" w:rsidRDefault="005823BA" w:rsidP="00E37997">
      <w:pPr>
        <w:jc w:val="both"/>
        <w:rPr>
          <w:rFonts w:ascii="Arial" w:hAnsi="Arial" w:cs="Arial"/>
          <w:sz w:val="22"/>
          <w:szCs w:val="22"/>
        </w:rPr>
      </w:pPr>
    </w:p>
    <w:p w:rsidR="005823BA" w:rsidRDefault="005823BA" w:rsidP="00E37997">
      <w:pPr>
        <w:jc w:val="both"/>
        <w:rPr>
          <w:rFonts w:ascii="Arial" w:hAnsi="Arial" w:cs="Arial"/>
          <w:sz w:val="22"/>
          <w:szCs w:val="22"/>
        </w:rPr>
      </w:pPr>
    </w:p>
    <w:p w:rsidR="00A626F5" w:rsidRPr="00E37997" w:rsidRDefault="00A626F5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26F5" w:rsidRDefault="00A626F5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23BA" w:rsidRDefault="005823BA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23BA" w:rsidRDefault="005823BA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823BA" w:rsidRPr="00E37997" w:rsidRDefault="005823BA" w:rsidP="00E379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26F5" w:rsidRPr="00E37997" w:rsidRDefault="00A626F5" w:rsidP="00B44C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7997">
        <w:rPr>
          <w:rFonts w:ascii="Arial" w:hAnsi="Arial" w:cs="Arial"/>
          <w:b/>
          <w:bCs/>
          <w:sz w:val="22"/>
          <w:szCs w:val="22"/>
        </w:rPr>
        <w:tab/>
      </w:r>
    </w:p>
    <w:sectPr w:rsidR="00A626F5" w:rsidRPr="00E37997" w:rsidSect="00E37997">
      <w:headerReference w:type="default" r:id="rId10"/>
      <w:footerReference w:type="even" r:id="rId11"/>
      <w:footerReference w:type="default" r:id="rId12"/>
      <w:pgSz w:w="11906" w:h="16838" w:code="9"/>
      <w:pgMar w:top="1701" w:right="1418" w:bottom="1418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B4" w:rsidRDefault="00625DB4">
      <w:r>
        <w:separator/>
      </w:r>
    </w:p>
  </w:endnote>
  <w:endnote w:type="continuationSeparator" w:id="0">
    <w:p w:rsidR="00625DB4" w:rsidRDefault="0062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E3" w:rsidRDefault="00744FE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4FE3" w:rsidRDefault="00744F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4122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4FE3" w:rsidRDefault="00744FE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26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26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4FE3" w:rsidRDefault="00744FE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B4" w:rsidRDefault="00625DB4">
      <w:r>
        <w:separator/>
      </w:r>
    </w:p>
  </w:footnote>
  <w:footnote w:type="continuationSeparator" w:id="0">
    <w:p w:rsidR="00625DB4" w:rsidRDefault="0062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E3" w:rsidRPr="00F65286" w:rsidRDefault="00744FE3" w:rsidP="00F65286">
    <w:pPr>
      <w:pStyle w:val="Encabezado"/>
      <w:jc w:val="center"/>
      <w:rPr>
        <w:b/>
        <w:sz w:val="28"/>
        <w:szCs w:val="28"/>
        <w:lang w:val="es-PE"/>
      </w:rPr>
    </w:pPr>
    <w:r w:rsidRPr="00F65286">
      <w:rPr>
        <w:b/>
        <w:sz w:val="28"/>
        <w:szCs w:val="28"/>
        <w:lang w:val="es-PE"/>
      </w:rPr>
      <w:t>ENTIDAD PARTICIPANTE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7FBF"/>
    <w:multiLevelType w:val="hybridMultilevel"/>
    <w:tmpl w:val="8C0663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4EE"/>
    <w:multiLevelType w:val="hybridMultilevel"/>
    <w:tmpl w:val="BB32FB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3049"/>
    <w:multiLevelType w:val="hybridMultilevel"/>
    <w:tmpl w:val="5714F4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7D9E"/>
    <w:multiLevelType w:val="hybridMultilevel"/>
    <w:tmpl w:val="221026AA"/>
    <w:lvl w:ilvl="0" w:tplc="1D14DDE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9D43486"/>
    <w:multiLevelType w:val="hybridMultilevel"/>
    <w:tmpl w:val="CB1EBAD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67C5"/>
    <w:multiLevelType w:val="hybridMultilevel"/>
    <w:tmpl w:val="8AB27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C1195"/>
    <w:multiLevelType w:val="hybridMultilevel"/>
    <w:tmpl w:val="617AF5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1"/>
    <w:rsid w:val="000021B1"/>
    <w:rsid w:val="00014E53"/>
    <w:rsid w:val="000277C9"/>
    <w:rsid w:val="00030ABC"/>
    <w:rsid w:val="00033541"/>
    <w:rsid w:val="000533C6"/>
    <w:rsid w:val="00055846"/>
    <w:rsid w:val="00065181"/>
    <w:rsid w:val="00070494"/>
    <w:rsid w:val="0007219B"/>
    <w:rsid w:val="00073EC6"/>
    <w:rsid w:val="00083F06"/>
    <w:rsid w:val="00091F6C"/>
    <w:rsid w:val="00093F17"/>
    <w:rsid w:val="00094A37"/>
    <w:rsid w:val="000A5678"/>
    <w:rsid w:val="000B4D6B"/>
    <w:rsid w:val="000C5EA7"/>
    <w:rsid w:val="000D09B7"/>
    <w:rsid w:val="000D557D"/>
    <w:rsid w:val="000E06B4"/>
    <w:rsid w:val="000F262D"/>
    <w:rsid w:val="000F55B2"/>
    <w:rsid w:val="000F5720"/>
    <w:rsid w:val="000F7409"/>
    <w:rsid w:val="00100056"/>
    <w:rsid w:val="00104B49"/>
    <w:rsid w:val="00106BFE"/>
    <w:rsid w:val="00122081"/>
    <w:rsid w:val="001349AA"/>
    <w:rsid w:val="00140EA2"/>
    <w:rsid w:val="001431CD"/>
    <w:rsid w:val="001504F4"/>
    <w:rsid w:val="001542A5"/>
    <w:rsid w:val="001554B9"/>
    <w:rsid w:val="00161110"/>
    <w:rsid w:val="00164BE6"/>
    <w:rsid w:val="001767DC"/>
    <w:rsid w:val="00187D2B"/>
    <w:rsid w:val="00187DAE"/>
    <w:rsid w:val="001A2D59"/>
    <w:rsid w:val="001A7A43"/>
    <w:rsid w:val="001B2502"/>
    <w:rsid w:val="001B543B"/>
    <w:rsid w:val="001D4C86"/>
    <w:rsid w:val="001E12A0"/>
    <w:rsid w:val="001F3644"/>
    <w:rsid w:val="002022BF"/>
    <w:rsid w:val="00211F32"/>
    <w:rsid w:val="00223218"/>
    <w:rsid w:val="00225A1B"/>
    <w:rsid w:val="00251859"/>
    <w:rsid w:val="00251FDB"/>
    <w:rsid w:val="00253F9B"/>
    <w:rsid w:val="00256737"/>
    <w:rsid w:val="0027354E"/>
    <w:rsid w:val="00273B9C"/>
    <w:rsid w:val="00277B70"/>
    <w:rsid w:val="00285B5B"/>
    <w:rsid w:val="002B065C"/>
    <w:rsid w:val="002C0E13"/>
    <w:rsid w:val="002C7A48"/>
    <w:rsid w:val="002D0E47"/>
    <w:rsid w:val="002D6A01"/>
    <w:rsid w:val="002E04E5"/>
    <w:rsid w:val="002E2588"/>
    <w:rsid w:val="002F140D"/>
    <w:rsid w:val="002F2304"/>
    <w:rsid w:val="002F4618"/>
    <w:rsid w:val="003128FF"/>
    <w:rsid w:val="00315C1C"/>
    <w:rsid w:val="0032059D"/>
    <w:rsid w:val="0032186C"/>
    <w:rsid w:val="003539C8"/>
    <w:rsid w:val="00353D96"/>
    <w:rsid w:val="0038273C"/>
    <w:rsid w:val="00394F6F"/>
    <w:rsid w:val="003975D4"/>
    <w:rsid w:val="003A7376"/>
    <w:rsid w:val="003B1DA6"/>
    <w:rsid w:val="003C75EC"/>
    <w:rsid w:val="003C7853"/>
    <w:rsid w:val="003E1D5A"/>
    <w:rsid w:val="003E3FC4"/>
    <w:rsid w:val="003E7D58"/>
    <w:rsid w:val="003E7E69"/>
    <w:rsid w:val="003F3145"/>
    <w:rsid w:val="003F7878"/>
    <w:rsid w:val="00400B0B"/>
    <w:rsid w:val="0040205F"/>
    <w:rsid w:val="00404021"/>
    <w:rsid w:val="0040598A"/>
    <w:rsid w:val="0041151B"/>
    <w:rsid w:val="004207FA"/>
    <w:rsid w:val="00420AC4"/>
    <w:rsid w:val="00437C40"/>
    <w:rsid w:val="00444E98"/>
    <w:rsid w:val="00452972"/>
    <w:rsid w:val="004A466E"/>
    <w:rsid w:val="004B6898"/>
    <w:rsid w:val="004C04BB"/>
    <w:rsid w:val="004C5AF9"/>
    <w:rsid w:val="004C7209"/>
    <w:rsid w:val="004D57E0"/>
    <w:rsid w:val="004D63BA"/>
    <w:rsid w:val="004D66A5"/>
    <w:rsid w:val="004D7862"/>
    <w:rsid w:val="004E2A54"/>
    <w:rsid w:val="004E485E"/>
    <w:rsid w:val="004F21F2"/>
    <w:rsid w:val="004F3DEC"/>
    <w:rsid w:val="004F553D"/>
    <w:rsid w:val="00514246"/>
    <w:rsid w:val="00514F4E"/>
    <w:rsid w:val="00532628"/>
    <w:rsid w:val="00535A43"/>
    <w:rsid w:val="005418B6"/>
    <w:rsid w:val="00542F73"/>
    <w:rsid w:val="00547FCB"/>
    <w:rsid w:val="00550219"/>
    <w:rsid w:val="00564628"/>
    <w:rsid w:val="00572A67"/>
    <w:rsid w:val="00576D6B"/>
    <w:rsid w:val="005823BA"/>
    <w:rsid w:val="005936C7"/>
    <w:rsid w:val="0059383A"/>
    <w:rsid w:val="00593EF7"/>
    <w:rsid w:val="0059533D"/>
    <w:rsid w:val="005960F9"/>
    <w:rsid w:val="005A0F47"/>
    <w:rsid w:val="005A3505"/>
    <w:rsid w:val="005A3C59"/>
    <w:rsid w:val="005A4449"/>
    <w:rsid w:val="005A68ED"/>
    <w:rsid w:val="005D425D"/>
    <w:rsid w:val="005E7AAE"/>
    <w:rsid w:val="0061292A"/>
    <w:rsid w:val="006211C8"/>
    <w:rsid w:val="00625DB4"/>
    <w:rsid w:val="00630218"/>
    <w:rsid w:val="006319DC"/>
    <w:rsid w:val="006337CC"/>
    <w:rsid w:val="006357EB"/>
    <w:rsid w:val="00654F1F"/>
    <w:rsid w:val="00661B21"/>
    <w:rsid w:val="00676504"/>
    <w:rsid w:val="006770FD"/>
    <w:rsid w:val="006A06C3"/>
    <w:rsid w:val="006A65BB"/>
    <w:rsid w:val="006C075B"/>
    <w:rsid w:val="006C293C"/>
    <w:rsid w:val="006C2E67"/>
    <w:rsid w:val="006D49EC"/>
    <w:rsid w:val="006D6179"/>
    <w:rsid w:val="006D6E21"/>
    <w:rsid w:val="006E2522"/>
    <w:rsid w:val="006F22D3"/>
    <w:rsid w:val="006F248B"/>
    <w:rsid w:val="006F2A74"/>
    <w:rsid w:val="006F3232"/>
    <w:rsid w:val="006F62A2"/>
    <w:rsid w:val="007010E0"/>
    <w:rsid w:val="00701D9C"/>
    <w:rsid w:val="0070282E"/>
    <w:rsid w:val="00706D2A"/>
    <w:rsid w:val="00707F95"/>
    <w:rsid w:val="00714684"/>
    <w:rsid w:val="00715F39"/>
    <w:rsid w:val="0072547F"/>
    <w:rsid w:val="007306DB"/>
    <w:rsid w:val="00734DC3"/>
    <w:rsid w:val="00736244"/>
    <w:rsid w:val="007417C8"/>
    <w:rsid w:val="00744FE3"/>
    <w:rsid w:val="00747D88"/>
    <w:rsid w:val="00766360"/>
    <w:rsid w:val="007A3980"/>
    <w:rsid w:val="007B2944"/>
    <w:rsid w:val="007B4F4D"/>
    <w:rsid w:val="007B5C8D"/>
    <w:rsid w:val="007C1A3A"/>
    <w:rsid w:val="007C2079"/>
    <w:rsid w:val="007D091B"/>
    <w:rsid w:val="00803707"/>
    <w:rsid w:val="0081025D"/>
    <w:rsid w:val="00817B40"/>
    <w:rsid w:val="0082759B"/>
    <w:rsid w:val="0084308E"/>
    <w:rsid w:val="00843C2E"/>
    <w:rsid w:val="00851439"/>
    <w:rsid w:val="00852A85"/>
    <w:rsid w:val="0085648D"/>
    <w:rsid w:val="008733D8"/>
    <w:rsid w:val="00873704"/>
    <w:rsid w:val="00883382"/>
    <w:rsid w:val="008864EF"/>
    <w:rsid w:val="00886A24"/>
    <w:rsid w:val="008A42D5"/>
    <w:rsid w:val="008C59FC"/>
    <w:rsid w:val="008D08AB"/>
    <w:rsid w:val="008D11B3"/>
    <w:rsid w:val="008D311E"/>
    <w:rsid w:val="008D674A"/>
    <w:rsid w:val="008E5928"/>
    <w:rsid w:val="008F161C"/>
    <w:rsid w:val="008F43C4"/>
    <w:rsid w:val="008F5544"/>
    <w:rsid w:val="00917EEB"/>
    <w:rsid w:val="009244A9"/>
    <w:rsid w:val="00926103"/>
    <w:rsid w:val="00941116"/>
    <w:rsid w:val="009523ED"/>
    <w:rsid w:val="00952787"/>
    <w:rsid w:val="00965E49"/>
    <w:rsid w:val="00971C3A"/>
    <w:rsid w:val="00972DAA"/>
    <w:rsid w:val="00974ABE"/>
    <w:rsid w:val="00981A45"/>
    <w:rsid w:val="00987B7E"/>
    <w:rsid w:val="009A6F9B"/>
    <w:rsid w:val="009D2891"/>
    <w:rsid w:val="009D71E0"/>
    <w:rsid w:val="009D7A5B"/>
    <w:rsid w:val="009D7A83"/>
    <w:rsid w:val="009E04B1"/>
    <w:rsid w:val="009E1450"/>
    <w:rsid w:val="009E6A14"/>
    <w:rsid w:val="009F3610"/>
    <w:rsid w:val="00A056B3"/>
    <w:rsid w:val="00A0666F"/>
    <w:rsid w:val="00A120C0"/>
    <w:rsid w:val="00A15C42"/>
    <w:rsid w:val="00A1707A"/>
    <w:rsid w:val="00A20335"/>
    <w:rsid w:val="00A23CC3"/>
    <w:rsid w:val="00A45FF6"/>
    <w:rsid w:val="00A57D11"/>
    <w:rsid w:val="00A626F5"/>
    <w:rsid w:val="00A71017"/>
    <w:rsid w:val="00A71978"/>
    <w:rsid w:val="00A72221"/>
    <w:rsid w:val="00A77700"/>
    <w:rsid w:val="00A817B9"/>
    <w:rsid w:val="00A91728"/>
    <w:rsid w:val="00A93E6E"/>
    <w:rsid w:val="00A978DA"/>
    <w:rsid w:val="00AA27BB"/>
    <w:rsid w:val="00AB5258"/>
    <w:rsid w:val="00AC134F"/>
    <w:rsid w:val="00AE3234"/>
    <w:rsid w:val="00AE51E1"/>
    <w:rsid w:val="00AF164E"/>
    <w:rsid w:val="00AF59C7"/>
    <w:rsid w:val="00AF5D2E"/>
    <w:rsid w:val="00B00006"/>
    <w:rsid w:val="00B006F6"/>
    <w:rsid w:val="00B01B47"/>
    <w:rsid w:val="00B026BE"/>
    <w:rsid w:val="00B16C91"/>
    <w:rsid w:val="00B21001"/>
    <w:rsid w:val="00B22F1D"/>
    <w:rsid w:val="00B262C9"/>
    <w:rsid w:val="00B30AD5"/>
    <w:rsid w:val="00B32EDE"/>
    <w:rsid w:val="00B44CB9"/>
    <w:rsid w:val="00B63FB8"/>
    <w:rsid w:val="00B67154"/>
    <w:rsid w:val="00BA02EB"/>
    <w:rsid w:val="00BB46EF"/>
    <w:rsid w:val="00BB6CA7"/>
    <w:rsid w:val="00BC2AAB"/>
    <w:rsid w:val="00BC650E"/>
    <w:rsid w:val="00BD4E8A"/>
    <w:rsid w:val="00BF3A79"/>
    <w:rsid w:val="00C04E27"/>
    <w:rsid w:val="00C101BB"/>
    <w:rsid w:val="00C16625"/>
    <w:rsid w:val="00C34E87"/>
    <w:rsid w:val="00C3784C"/>
    <w:rsid w:val="00C40A24"/>
    <w:rsid w:val="00C45B21"/>
    <w:rsid w:val="00C61111"/>
    <w:rsid w:val="00C7593D"/>
    <w:rsid w:val="00C8375A"/>
    <w:rsid w:val="00C86CA5"/>
    <w:rsid w:val="00C90AAF"/>
    <w:rsid w:val="00C93DA2"/>
    <w:rsid w:val="00C9451A"/>
    <w:rsid w:val="00CA1205"/>
    <w:rsid w:val="00CB0214"/>
    <w:rsid w:val="00CC1307"/>
    <w:rsid w:val="00CC42B0"/>
    <w:rsid w:val="00CC7989"/>
    <w:rsid w:val="00CE527F"/>
    <w:rsid w:val="00CF27EB"/>
    <w:rsid w:val="00D06235"/>
    <w:rsid w:val="00D23BF2"/>
    <w:rsid w:val="00D37FA0"/>
    <w:rsid w:val="00D42AA5"/>
    <w:rsid w:val="00D42DE8"/>
    <w:rsid w:val="00D55881"/>
    <w:rsid w:val="00D764CD"/>
    <w:rsid w:val="00D96E64"/>
    <w:rsid w:val="00DB0C79"/>
    <w:rsid w:val="00DD6114"/>
    <w:rsid w:val="00DD7CDC"/>
    <w:rsid w:val="00DF3768"/>
    <w:rsid w:val="00DF5B17"/>
    <w:rsid w:val="00E0144B"/>
    <w:rsid w:val="00E15B7E"/>
    <w:rsid w:val="00E16A90"/>
    <w:rsid w:val="00E254E4"/>
    <w:rsid w:val="00E33AB7"/>
    <w:rsid w:val="00E352BC"/>
    <w:rsid w:val="00E37997"/>
    <w:rsid w:val="00E46E30"/>
    <w:rsid w:val="00E91BA1"/>
    <w:rsid w:val="00EA6ED6"/>
    <w:rsid w:val="00ED0C87"/>
    <w:rsid w:val="00ED384F"/>
    <w:rsid w:val="00EE1E6D"/>
    <w:rsid w:val="00EE307A"/>
    <w:rsid w:val="00EE4429"/>
    <w:rsid w:val="00EF5C1E"/>
    <w:rsid w:val="00F004DA"/>
    <w:rsid w:val="00F12B6B"/>
    <w:rsid w:val="00F155BA"/>
    <w:rsid w:val="00F15E4F"/>
    <w:rsid w:val="00F63912"/>
    <w:rsid w:val="00F64417"/>
    <w:rsid w:val="00F64A73"/>
    <w:rsid w:val="00F65286"/>
    <w:rsid w:val="00F7008A"/>
    <w:rsid w:val="00F71D0A"/>
    <w:rsid w:val="00FB0327"/>
    <w:rsid w:val="00FB268C"/>
    <w:rsid w:val="00FB4CC2"/>
    <w:rsid w:val="00FB5B5E"/>
    <w:rsid w:val="00FE2FFE"/>
    <w:rsid w:val="00FF3FBB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0A3C1-0544-4A08-AF6F-CA2D15D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Textoindependiente">
    <w:name w:val="Body Text"/>
    <w:basedOn w:val="Normal"/>
    <w:semiHidden/>
    <w:rPr>
      <w:rFonts w:ascii="Arial" w:hAnsi="Arial"/>
      <w:sz w:val="22"/>
      <w:szCs w:val="20"/>
      <w:lang w:val="es-PE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Comic Sans MS" w:hAnsi="Comic Sans MS"/>
      <w:sz w:val="22"/>
      <w:szCs w:val="20"/>
    </w:rPr>
  </w:style>
  <w:style w:type="paragraph" w:styleId="Textonotapie">
    <w:name w:val="footnote text"/>
    <w:basedOn w:val="Normal"/>
    <w:semiHidden/>
    <w:rPr>
      <w:rFonts w:ascii="Arial" w:hAnsi="Arial" w:cs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Arial" w:hAnsi="Arial" w:cs="Arial"/>
      <w:sz w:val="22"/>
    </w:rPr>
  </w:style>
  <w:style w:type="character" w:styleId="Nmerodepgina">
    <w:name w:val="page number"/>
    <w:basedOn w:val="Fuentedeprrafopredeter"/>
    <w:semiHidden/>
  </w:style>
  <w:style w:type="character" w:customStyle="1" w:styleId="PiedepginaCar">
    <w:name w:val="Pie de página Car"/>
    <w:link w:val="Piedepgina"/>
    <w:uiPriority w:val="99"/>
    <w:rsid w:val="001431CD"/>
    <w:rPr>
      <w:rFonts w:ascii="Arial" w:hAnsi="Arial" w:cs="Arial"/>
      <w:sz w:val="2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04B49"/>
    <w:rPr>
      <w:lang w:val="en-US" w:eastAsia="zh-CN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100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A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2A85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D63BA"/>
    <w:rPr>
      <w:rFonts w:ascii="Arial" w:hAnsi="Arial" w:cs="Arial"/>
      <w:sz w:val="22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63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3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3B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3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3BA"/>
    <w:rPr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44E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7700"/>
    <w:rPr>
      <w:rFonts w:eastAsiaTheme="minorHAnsi"/>
      <w:lang w:val="es-PE" w:eastAsia="es-PE"/>
    </w:rPr>
  </w:style>
  <w:style w:type="character" w:styleId="nfasis">
    <w:name w:val="Emphasis"/>
    <w:basedOn w:val="Fuentedeprrafopredeter"/>
    <w:uiPriority w:val="20"/>
    <w:qFormat/>
    <w:rsid w:val="00A77700"/>
    <w:rPr>
      <w:i/>
      <w:iCs/>
    </w:rPr>
  </w:style>
  <w:style w:type="character" w:customStyle="1" w:styleId="apple-converted-space">
    <w:name w:val="apple-converted-space"/>
    <w:basedOn w:val="Fuentedeprrafopredeter"/>
    <w:rsid w:val="00AF164E"/>
  </w:style>
  <w:style w:type="paragraph" w:styleId="Revisin">
    <w:name w:val="Revision"/>
    <w:hidden/>
    <w:uiPriority w:val="99"/>
    <w:semiHidden/>
    <w:rsid w:val="00661B2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.RegistroLiqConOpeInt@bcrp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to.RegistroLiqConOpeInt@bcrp.gob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5152-4C38-4779-B2DE-8F7F3143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N°</vt:lpstr>
      <vt:lpstr>Contrato N°</vt:lpstr>
    </vt:vector>
  </TitlesOfParts>
  <Company>Banco Central de Reserva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</dc:title>
  <dc:creator>BCRP</dc:creator>
  <cp:lastModifiedBy>Espino Lazo, Freddy  Santiago</cp:lastModifiedBy>
  <cp:revision>7</cp:revision>
  <cp:lastPrinted>2014-08-14T20:01:00Z</cp:lastPrinted>
  <dcterms:created xsi:type="dcterms:W3CDTF">2020-12-30T14:31:00Z</dcterms:created>
  <dcterms:modified xsi:type="dcterms:W3CDTF">2020-12-30T14:32:00Z</dcterms:modified>
</cp:coreProperties>
</file>